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PURPOSE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Personal Data Retention and Destruction Policy (the “Policy”) has been prepared to determine the procedures and principles regarding the retention and destruction activities of personal data processed within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rPr>
        <w:t>FEEDBACK4E YAZILIM DANIŞMANLIK TİCARET LİMİTED ŞİRKETİ</w:t>
      </w:r>
      <w:r>
        <w:rPr>
          <w:b w:val="0"/>
        </w:rPr>
        <w:t xml:space="preserve"> (hereinafter referred to as the “Data Controller”).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This Policy is based on:</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the obligations regarding the retention, deletion, destruction and anonymization of personal data pursuant to Articles 7 and 12 of Law No. 6698 on the Protection of Personal Data,</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the controls ensuring the secure management of information assets throughout their life cycle within the scope of the ISO/IEC 27001:2022 Information Security Management System (for example, A.5.33 Protection of records, A.5.34 Privacy and protection of personally identifiable information (PII), A.8.10 Information deletion),</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the provisions of the ISO/IEC 27701:2019 Privacy Information Management System requirements regarding the determination and justification of retention periods for personal data (PII) (7.4.7 Retention), secure destruction (7.4.5 De-identification and deletion of PII at the end of processing), and compliance with the principles of transparency and accountability.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Accordingly, the Policy ensures the Company’s integration with international information security and privacy management standards.</w:t>
      </w:r>
    </w:p>
    <w:p w:rsidR="00000000" w:rsidDel="00000000" w:rsidP="00000000" w:rsidRDefault="00000000" w:rsidRPr="00000000" w14:paraId="000000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SCOPE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This Policy covers all activities and operations relating to the retention and destruction of all personal data processed within the Data Controller.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All recording environments (electronic and physical) in which personal data belonging to Employees, Employee Candidates, Suppliers, Customers, Prospective Customers, Online Visitors and Other Third Parties (“Data Subject Groups”) owned or managed by the Data Controller are processed, as well as all personal data processing activities, are subject to the provisions of this Policy.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Within this scope:</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Under the KVKK, all personal data processed by the Data Controller are subject to retention and destruction processes (Art. 7, Art. 12).</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Under ISO/IEC 27001:2022, all information assets, including personal data, are subject to retention and destruction controls within the information security management system (A.5.33 Protection of records, A.5.34 Privacy and protection of personally identifiable information (PII), A.8.10 Information deletion).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Under ISO/IEC 27701:2019, the processing, retention and destruction of personal data (PII) are carried out only for predefined, legitimate and transparent purposes; PII Controller and PII Processor obligations apply to the data of all relevant data subject groups (7.4.7, 7.4.5).</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Therefore, this Policy provides an integrated data management framework aligned with international information security and privacy management standards.</w:t>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RESPONSIBILITIES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The implementation and sustainability of this Policy shall be ensured under the supervision of the Contact Person, Technical Measures Officer, Administrative Measures Officer and Compliance Officer specified in the Roles and Responsibilities table. In addition, in order for the Data Controller to fulfil its obligations regarding personal data security, all employees must support the persons responsible for taking all necessary administrative and technical measures and for implementing the processes set out in this Policy.</w:t>
      </w:r>
    </w:p>
    <w:p w:rsidR="00000000" w:rsidDel="00000000" w:rsidP="00000000" w:rsidRDefault="00000000" w:rsidRPr="00000000" w14:paraId="0000001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DEFINITIONS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Personal Data: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Any information relating to an identified or identifiable natural person (KVKK Art. 3).</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Special Categories of Personal Data: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Sensitive data such as race, ethnic origin, political opinion, health information, biometric/genetic data (KVKK Art. 6).</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Data Controller: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The natural or legal person who determines the purposes and means of processing personal data and is responsible for establishing and managing the data filing system (KVKK Art. 3).</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Data Processor: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The party processing personal data on behalf of the Data Controller (ISO/IEC 27701).</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Retention: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Keeping personal data only for the period necessary for the predefined purpose (ISO/IEC 27701 – 7.3.3).</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Destruction: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The deletion, destruction or anonymization of personal data (KVKK Art. 7).</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Deletion of Personal Data: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Rendering personal data completely inaccessible, irretrievable and unusable again for relevant users.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Destruction of Personal Data: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Rendering personal data inaccessible, irretrievable and unusable again by anyone.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Anonymization of Personal Data: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Rendering personal data incapable of being associated in any way with an identified or identifiable person, even when matched with other data.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bCs w:val="1"/>
          <w:i w:val="0"/>
          <w:iCs w:val="0"/>
          <w:smallCaps w:val="0"/>
          <w:strike w:val="0"/>
          <w:color w:val="000000"/>
          <w:sz w:val="24"/>
          <w:szCs w:val="24"/>
          <w:u w:val="none"/>
          <w:shd w:fill="auto" w:val="clear"/>
          <w:vertAlign w:val="baseline"/>
          <w:rtl w:val="0"/>
        </w:rPr>
        <w:t>Information Asset: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Pr>
          <w:b w:val="0"/>
        </w:rPr>
        <w:t xml:space="preserve"> Any information, data, software, hardware, document or record that is valuable to the Organization and must be protected.</w:t>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RELATED DOCUMENTS</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PR.06 Asset Management Procedure</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PR.04 Internal Audit Procedure</w:t>
      </w:r>
    </w:p>
    <w:p w:rsidR="00000000" w:rsidDel="00000000" w:rsidP="00000000" w:rsidRDefault="00000000" w:rsidRPr="00000000" w14:paraId="0000002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KV.PR.03 Special Categories of Personal Data Processing Procedure</w:t>
      </w: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IMPLEMENTATION</w:t>
      </w:r>
    </w:p>
    <w:p w:rsidR="00000000" w:rsidDel="00000000" w:rsidP="00000000" w:rsidRDefault="00000000" w:rsidRPr="00000000" w14:paraId="00000024">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j5axm4ir254c"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RETENTION</w:t>
      </w:r>
    </w:p>
    <w:p w:rsidR="00000000" w:rsidDel="00000000" w:rsidP="00000000" w:rsidRDefault="00000000" w:rsidRPr="00000000" w14:paraId="00000025">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Recording Environments Where Personal Data Are Retained</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Personal data are protected by the Data Controller in electronic and physical recording environments in accordance with Law No. 6698 on the Protection of Personal Data, the controls of the ISO/IEC 27001:2022 Information Security Management System relating to the secure retention of information assets (A.5.9, A.5.33), and the requirements of the ISO/IEC 27701:2019 Privacy Information Management System regarding the retention and destruction of personal data (7.4.7, 7.4.5).</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38.0" w:type="dxa"/>
        <w:jc w:val="left"/>
        <w:tblLayout w:type="fixed"/>
        <w:tblLook w:val="0000"/>
      </w:tblPr>
      <w:tblGrid>
        <w:gridCol w:w="4819"/>
        <w:gridCol w:w="4819"/>
        <w:tblGridChange w:id="0">
          <w:tblGrid>
            <w:gridCol w:w="4819"/>
            <w:gridCol w:w="4819"/>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Electronic Environments</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Non-Electronic Environments</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Servers (e-mail, database, etc.)</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Written, printed and visual media</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Software (F4E, business software, etc.)</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Manual data filing systems (asset handover forms, survey forms, contracts, invoices, job application forms, etc.)</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Information security devices (Firewall)</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Printer, scanner, photocopier</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Portable storage devices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Personal computers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Mobile devices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tcdjpoylj5os" w:id="1"/>
      <w:bookmarkEnd w: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Conditions for Retaining Personal Data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1ybelj8jkge8"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Your personal data are retained by the Data Controller for the period stipulated in the applicable legislation or for as long as necessary for the purpose for which they are processed, and are destroyed upon expiry of the relevant periods.</w:t>
      </w:r>
    </w:p>
    <w:p w:rsidR="00000000" w:rsidDel="00000000" w:rsidP="00000000" w:rsidRDefault="00000000" w:rsidRPr="00000000" w14:paraId="0000003B">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60" w:before="0" w:line="278.00000000000006" w:lineRule="auto"/>
        <w:ind w:left="1728" w:right="0" w:hanging="648"/>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bookmarkStart w:colFirst="0" w:colLast="0" w:name="_qghzpccwzz0v" w:id="3"/>
      <w:bookmarkEnd w:id="3"/>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Legal Regulations Requiring the Retention of Personal Data</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By the Data Controller;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Within the scope of the ISO 27001 Information Security Management System and ISO 27701 Privacy Information Management System, data are retained for the retention periods stipulated in the relevant local legislation listed below:</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Law No. 6698 on the Protection of Personal Data,</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Turkish Code of Obligations No. 6098,</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Turkish Commercial Code No. 6102,</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Social Insurance and General Health Insurance Law No. 5510,</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Law No. 5651 on the Regulation of Publications on the Internet and Combating Crimes Committed by Means of Such Publications,</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Tax Procedure Law No. 213,</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Occupational Health and Safety Law No. 6361,</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Labour Law No. 4857,</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Vocational Education Law No. 3308,</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and other applicable relevant legal regulations.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3"/>
          <w:numId w:val="8"/>
        </w:numPr>
        <w:pBdr>
          <w:top w:space="0" w:sz="0" w:val="nil"/>
          <w:left w:space="0" w:sz="0" w:val="nil"/>
          <w:bottom w:space="0" w:sz="0" w:val="nil"/>
          <w:right w:space="0" w:sz="0" w:val="nil"/>
          <w:between w:space="0" w:sz="0" w:val="nil"/>
        </w:pBdr>
        <w:shd w:fill="auto" w:val="clear"/>
        <w:spacing w:after="160" w:before="0" w:line="278.00000000000006" w:lineRule="auto"/>
        <w:ind w:left="1728" w:right="0" w:hanging="648"/>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bookmarkStart w:colFirst="0" w:colLast="0" w:name="_9lwwl0rrqwu9" w:id="4"/>
      <w:bookmarkEnd w:id="4"/>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Purposes Requiring the Retention of Personal Data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Personal data belonging to data subjects processed by the Data Controller within the framework of its business processes and activities are retained for the following purposes:</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Planning and execution of human resources processes,</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personnel affairs,</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Planning and execution of organizational audit activities,</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Ensuring the legal, technical and commercial/business security of the Organization and the data subjects who have a business relationship with the Organization,</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marketing analysis activities,</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advertising / campaign / promotion processes,</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communication activities,</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product and service development activities,</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goods and services production, sales and operational processes,</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company / product / service loyalty processes,</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audit / ethics activities,</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Managing access authorizations,</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finance and accounting activities,</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Following up and conducting legal affairs,</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internal audit / investigation / intelligence activities,</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Following up requests and complaints,</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and supervising business activities,</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Receiving and evaluating suggestions for improving business processes,</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activities to ensure business continuity,</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Conducting customer relationship management processes.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1"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13i9sswvdco3" w:id="5"/>
      <w:bookmarkEnd w:id="5"/>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DESTRUCTION OF PERSONAL DATA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Personal data processed by the Data Controller according to the relevant data subject group within the personal data processing conditions specified in Articles 5 and 6 of Law No. 6698 are deleted, destroyed or anonymized in the following cases:</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Amendment or repeal of the legal regulations constituting the reason for processing or retaining personal data,</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Elimination of the purpose for processing or retaining personal data,</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Where personal data are processed or retained on the basis of explicit consent, withdrawal of the data subject’s explicit consent,</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Acceptance of the data subject’s application to the Organization for the deletion and destruction of personal data within the scope of the rights specified in Article 11 of the Law,</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Failure of the Organization to respond to the application made by the data subject within the application period, rejection of the application, or the response being considered insufficient by the data subject,</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The data subject lodging a complaint with the Personal Data Protection Board and the Board finding the request appropriate,</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Expiry of the maximum period requiring the retention of personal data and the absence of any justification for retaining personal data for a longer period,</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In such cases, the personal data of the relevant data subject are deleted, destroyed or anonymized by the Organization during the periodic destruction process or upon the request of the data subject.</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ADMINISTRATIVE AND TECHNICAL MEASURES</w:t>
      </w:r>
    </w:p>
    <w:p w:rsidR="00000000" w:rsidDel="00000000" w:rsidP="00000000" w:rsidRDefault="00000000" w:rsidRPr="00000000" w14:paraId="0000006F">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Administrative Measures</w:t>
      </w: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By the Data Controller;</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 Personal Data Processing Inventory has been prepared, and Risk Analysis is carried out continuously in order to identify existing risks and threats relating to this inventory.</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Employees are provided with training on personal data security and awareness activities are carried out.</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Confidentiality Undertakings are obtained from employees.</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An Access Policy, Retention and Destruction Policy, Personal Data Protection and Processing Policy, and WEB Privacy Policies regarding personal data security are prepared and implemented.</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The personal data processed by the Organization are minimized as far as possible in light of the principles set out in Article 4 of the Law.</w:t>
      </w:r>
    </w:p>
    <w:p w:rsidR="00000000" w:rsidDel="00000000" w:rsidP="00000000" w:rsidRDefault="00000000" w:rsidRPr="00000000" w14:paraId="0000007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Access to environments within the Organization where particularly critical data are kept is controlled.</w:t>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Locked cabinets are used in rooms containing personal data. In addition, the entire facility is monitored externally by a camera system.</w:t>
      </w:r>
    </w:p>
    <w:p w:rsidR="00000000" w:rsidDel="00000000" w:rsidP="00000000" w:rsidRDefault="00000000" w:rsidRPr="00000000" w14:paraId="000000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For the management of relationships with persons and organizations contracted as data processors, Confidentiality Agreements regarding data security are executed and Confidentiality Undertakings are obtained.</w:t>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Before commencing the processing of personal data, the Organization fulfils its obligation to inform the relevant data subjects.</w:t>
      </w:r>
    </w:p>
    <w:p w:rsidR="00000000" w:rsidDel="00000000" w:rsidP="00000000" w:rsidRDefault="00000000" w:rsidRPr="00000000" w14:paraId="000000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Periodic and random internal audits are conducted, and audit results provide input for corrective and preventive actions. In this way, risks are reduced through continuous improvement.</w:t>
      </w:r>
    </w:p>
    <w:p w:rsidR="00000000" w:rsidDel="00000000" w:rsidP="00000000" w:rsidRDefault="00000000" w:rsidRPr="00000000" w14:paraId="000000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Employees are provided with continuous and regular training by the Organization on personal data and information security matters.</w:t>
      </w:r>
    </w:p>
    <w:p w:rsidR="00000000" w:rsidDel="00000000" w:rsidP="00000000" w:rsidRDefault="00000000" w:rsidRPr="00000000" w14:paraId="0000007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In the event of a data security breach within the Organization, various provisions concerning employees are included in the Organization’s Disciplinary Procedure.</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An authorization matrix has been established for applications used within the Organization, and it is regularly monitored and controlled.</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Special categories of personal data are processed in accordance with KV.PR.03 Special Categories of Personal Data Processing Procedure.</w:t>
      </w:r>
    </w:p>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Physical and digital documents are classified within the scope of PR.06 Asset Management Procedure, and the necessary security measures are taken according to their confidentiality classification.</w:t>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Regular and continuous internal audits are carried out by the internal audit team within the scope of PR.04 Internal Audit Procedure.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TECHNICAL MEASURES</w:t>
      </w:r>
    </w:p>
    <w:p w:rsidR="00000000" w:rsidDel="00000000" w:rsidP="00000000" w:rsidRDefault="00000000" w:rsidRPr="00000000" w14:paraId="00000084">
      <w:pPr>
        <w:ind w:left="426"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rtl w:val="0"/>
        </w:rPr>
      </w:r>
      <w:r w:rsidDel="00000000" w:rsidR="00000000" w:rsidRPr="00000000">
        <w:rPr>
          <w:rFonts w:ascii="Calibri" w:cs="Calibri" w:eastAsia="Calibri" w:hAnsi="Calibri"/>
          <w:color w:val="000000"/>
          <w:rtl w:val="0"/>
        </w:rPr>
        <w:t>As a result of the gap analysis, risk inventory and personal data inventory studies carried out by the Data Controller, the identified technical measures are implemented, and the measures taken are continuously improved through audits.</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Inbound and outbound traffic within our Organization is controlled by a Firewall and network traffic is protected.</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Network and application security are ensured within the scope of the Network Management Policy.</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External access to the Organization’s network is provided only to designated persons by establishing a secure connection via SSL VPN.</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Organization’s network is protected through IPS and DNS filter modules on the Firewall used within the Organization.</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Passwords used within the Organization are managed within the scope of the “Password Management and Use Procedure”.</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Various third-party software tools are used to monitor system vulnerabilities; appropriate security patches are installed and vulnerabilities are remediated.</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security of the Organization’s premises is ensured through 24/7 monitoring by camera systems.</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Cloud systems are used in a controlled manner by the Organization. Additional security measures offered by the service provider are implemented.</w:t>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All computers within the Organization are protected against malware and external viruses through antivirus software.</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Only the IT unit can access the log records kept for access to the Organization’s systems.</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Access records (logs) are maintained for the software, applications and databases used.</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Internet access within the Organization is logged in accordance with Law No. 5651.</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 separate procedure has been established for the security of special categories of personal data.</w:t>
      </w:r>
    </w:p>
    <w:p w:rsidR="00000000" w:rsidDel="00000000" w:rsidP="00000000" w:rsidRDefault="00000000" w:rsidRPr="00000000" w14:paraId="00000093">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qa2xxsdt6215" w:id="6"/>
      <w:bookmarkEnd w:id="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PERSONAL DATA DESTRUCTION TECHNIQUES</w:t>
      </w:r>
    </w:p>
    <w:p w:rsidR="00000000" w:rsidDel="00000000" w:rsidP="00000000" w:rsidRDefault="00000000" w:rsidRPr="00000000" w14:paraId="00000095">
      <w:pPr>
        <w:spacing w:after="0" w:line="240" w:lineRule="auto"/>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Personal data processed within the framework of the Organization’s purposes stated above are destroyed by the Organization ex officio or upon the application of the data subject, upon expiry of the period stipulated in the applicable legislation or the retention period necessary for the purpose for which they are processed, in accordance with Law No. 6698 on the Protection of Personal Data and other relevant legal regulations, using the methods specified below.</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ptnodytgtkds" w:id="7"/>
      <w:bookmarkEnd w:id="7"/>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Deletion of Personal Data</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Organization deletes personal data by rendering them completely inaccessible and unusable again for relevant users. The Organization takes all necessary technical and administrative measures to ensure that deleted personal data are inaccessible and cannot be reused by relevant users. Personal data are deleted using the following methods.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638.0" w:type="dxa"/>
        <w:jc w:val="left"/>
        <w:tblLayout w:type="fixed"/>
        <w:tblLook w:val="0000"/>
      </w:tblPr>
      <w:tblGrid>
        <w:gridCol w:w="4819"/>
        <w:gridCol w:w="4819"/>
        <w:tblGridChange w:id="0">
          <w:tblGrid>
            <w:gridCol w:w="4819"/>
            <w:gridCol w:w="4819"/>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Data Recording Environment</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Deletion Method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9E">
            <w:pPr>
              <w:rPr/>
            </w:pPr>
            <w:r w:rsidDel="00000000" w:rsidR="00000000" w:rsidRPr="00000000">
              <w:rPr>
                <w:rtl w:val="0"/>
              </w:rPr>
              <w:t>Personal Data Stored on Servers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9F">
            <w:pPr>
              <w:rPr/>
            </w:pPr>
            <w:r w:rsidDel="00000000" w:rsidR="00000000" w:rsidRPr="00000000">
              <w:rPr>
                <w:rtl w:val="0"/>
              </w:rPr>
              <w:t>Access rights are revoked.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0">
            <w:pPr>
              <w:rPr/>
            </w:pPr>
            <w:r w:rsidDel="00000000" w:rsidR="00000000" w:rsidRPr="00000000">
              <w:rPr>
                <w:rtl w:val="0"/>
              </w:rPr>
              <w:t>Personal Data Stored in Electronic Environments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1">
            <w:pPr>
              <w:rPr/>
            </w:pPr>
            <w:r w:rsidDel="00000000" w:rsidR="00000000" w:rsidRPr="00000000">
              <w:rPr>
                <w:rtl w:val="0"/>
              </w:rPr>
              <w:t>If a database is used, database access rights are revoked. For other electronic environments, access rights are revoked where applicable.</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2">
            <w:pPr>
              <w:rPr/>
            </w:pPr>
            <w:r w:rsidDel="00000000" w:rsidR="00000000" w:rsidRPr="00000000">
              <w:rPr>
                <w:rtl w:val="0"/>
              </w:rPr>
              <w:t>Databases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3">
            <w:pPr>
              <w:rPr/>
            </w:pPr>
            <w:r w:rsidDel="00000000" w:rsidR="00000000" w:rsidRPr="00000000">
              <w:rPr>
                <w:rtl w:val="0"/>
              </w:rPr>
              <w:t>Access rights to the rows containing personal data in the databases are revoked.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4">
            <w:pPr>
              <w:rPr/>
            </w:pPr>
            <w:r w:rsidDel="00000000" w:rsidR="00000000" w:rsidRPr="00000000">
              <w:rPr>
                <w:rtl w:val="0"/>
              </w:rPr>
              <w:t>Personal Data Stored in Physical Environments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5">
            <w:pPr>
              <w:rPr/>
            </w:pPr>
            <w:r w:rsidDel="00000000" w:rsidR="00000000" w:rsidRPr="00000000">
              <w:rPr>
                <w:rtl w:val="0"/>
              </w:rPr>
              <w:t>The data are moved to locked cabinets and locked rooms, thereby preventing access by the relevant data subject.</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6">
            <w:pPr>
              <w:rPr/>
            </w:pPr>
            <w:r w:rsidDel="00000000" w:rsidR="00000000" w:rsidRPr="00000000">
              <w:rPr>
                <w:rFonts w:ascii="Calibri" w:cs="Calibri" w:eastAsia="Calibri" w:hAnsi="Calibri"/>
                <w:color w:val="000000"/>
                <w:rtl w:val="0"/>
              </w:rPr>
              <w:t>Personal Data Stored in Cloud Systems</w:t>
            </w:r>
            <w:r w:rsidDel="00000000" w:rsidR="00000000" w:rsidRPr="00000000">
              <w:rPr>
                <w:rtl w:val="0"/>
              </w:rPr>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7">
            <w:pPr>
              <w:rPr>
                <w:rFonts w:ascii="Calibri" w:cs="Calibri" w:eastAsia="Calibri" w:hAnsi="Calibri"/>
                <w:color w:val="000000"/>
              </w:rPr>
            </w:pPr>
            <w:r w:rsidDel="00000000" w:rsidR="00000000" w:rsidRPr="00000000">
              <w:rPr>
                <w:rFonts w:ascii="Calibri" w:cs="Calibri" w:eastAsia="Calibri" w:hAnsi="Calibri"/>
                <w:color w:val="000000"/>
                <w:rtl w:val="0"/>
              </w:rPr>
              <w:t>Authorization to access the data stored in the cloud system is revoked.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A8">
            <w:pPr>
              <w:rPr/>
            </w:pPr>
            <w:r w:rsidDel="00000000" w:rsidR="00000000" w:rsidRPr="00000000">
              <w:rPr>
                <w:rtl w:val="0"/>
              </w:rPr>
              <w:t>Personal Data Stored on Portable Media</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A9">
            <w:pPr>
              <w:rPr/>
            </w:pPr>
            <w:r w:rsidDel="00000000" w:rsidR="00000000" w:rsidRPr="00000000">
              <w:rPr>
                <w:rtl w:val="0"/>
              </w:rPr>
              <w:t>The data are moved to locked cabinets and locked rooms, thereby preventing access by the relevant data subject.</w:t>
            </w:r>
          </w:p>
        </w:tc>
      </w:tr>
    </w:tbl>
    <w:p w:rsidR="00000000" w:rsidDel="00000000" w:rsidP="00000000" w:rsidRDefault="00000000" w:rsidRPr="00000000" w14:paraId="000000AA">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B">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C">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dkgvu8kofmz1" w:id="8"/>
      <w:bookmarkEnd w:id="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Destruction of Personal Data</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Organization destroys personal data by rendering them completely inaccessible, irretrievable and unusable again by anyone. The Organization takes all necessary technical and administrative measures regarding the destruction of personal data. Personal data are destroyed using the following methods.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638.0" w:type="dxa"/>
        <w:jc w:val="left"/>
        <w:tblLayout w:type="fixed"/>
        <w:tblLook w:val="0000"/>
      </w:tblPr>
      <w:tblGrid>
        <w:gridCol w:w="4819"/>
        <w:gridCol w:w="4819"/>
        <w:tblGridChange w:id="0">
          <w:tblGrid>
            <w:gridCol w:w="4819"/>
            <w:gridCol w:w="4819"/>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Data Recording Environment</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Destruction Method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Personal Data Stored on Servers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data are deleted, formatted, or Disk Wipe tools are used.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Personal Data Stored in Electronic Environments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database is deleted irreversibly. It is physically destroyed.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Databases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database is deleted irreversibly.</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Personal Data Stored in Physical Environments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data are destroyed by shredding with a paper shredder or by burning.</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Personal Data Stored in Cloud Systems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data are deleted irreversibly by issuing a deletion command.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Personal Data Stored on Portable Media</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BF">
            <w:pPr>
              <w:rPr/>
            </w:pPr>
            <w:r w:rsidDel="00000000" w:rsidR="00000000" w:rsidRPr="00000000">
              <w:rPr>
                <w:rtl w:val="0"/>
              </w:rPr>
              <w:t>The media are formatted or irreversibly erased using Disk Wipe software.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1">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60" w:before="0" w:line="278.00000000000006" w:lineRule="auto"/>
        <w:ind w:left="1224" w:right="0" w:hanging="504.00000000000006"/>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bookmarkStart w:colFirst="0" w:colLast="0" w:name="_3xaecevspan8" w:id="9"/>
      <w:bookmarkEnd w:id="9"/>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Anonymization of Personal Data</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Within the Organization, personal data that are required to be anonymized are destroyed according to the methods specified in Section 9.2, Destruction of Personal Data.</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vc0miznyo539" w:id="10"/>
      <w:bookmarkEnd w:id="1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RETENTION AND DESTRUCTION PERIODS</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retention periods of personal data retained by the Data Controller for the period stipulated in the applicable legislation or for as long as necessary for the purpose for which they are processed, as well as the retention periods for all personal data within activities carried out depending on the relevant processes, are specified in the Personal Data Processing Inventory and in this Retention and Destruction Procedure.</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9638.0" w:type="dxa"/>
        <w:jc w:val="left"/>
        <w:tblLayout w:type="fixed"/>
        <w:tblLook w:val="0000"/>
      </w:tblPr>
      <w:tblGrid>
        <w:gridCol w:w="3116"/>
        <w:gridCol w:w="2824"/>
        <w:gridCol w:w="3698"/>
        <w:tblGridChange w:id="0">
          <w:tblGrid>
            <w:gridCol w:w="3116"/>
            <w:gridCol w:w="2824"/>
            <w:gridCol w:w="3698"/>
          </w:tblGrid>
        </w:tblGridChange>
      </w:tblGrid>
      <w:tr>
        <w:trPr>
          <w:cantSplit w:val="0"/>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PROCESS</w:t>
            </w:r>
          </w:p>
        </w:tc>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RETENTION PERIOD</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DESTRUCTION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Log Record Monitoring Systems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2 years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Employee Candidate Evaluation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6 months</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Conducting Human Resources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10 years following the end of the activity</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Conducting Contract Establishment and Performance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10 years following the termination of the contract</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Conducting Finance and Accounting Follow-up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10 years from the termination of the legal relationship</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Conducting Legal Affairs Follow-up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10 years from the termination of the legal relationship</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Conducting Customer Satisfaction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10 years from the commencement of the relevant limitation period</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Conducting Marketing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10 years following the termination of the legal relationship</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r>
        <w:trPr>
          <w:cantSplit w:val="0"/>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Conducting Other Business Processes</w:t>
            </w:r>
          </w:p>
        </w:tc>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10 years from the commencement of the relevant limitation period</w:t>
            </w:r>
          </w:p>
        </w:tc>
        <w:tc>
          <w:tcPr>
            <w:tcBorders>
              <w:left w:color="000000" w:space="0" w:sz="4" w:val="single"/>
              <w:bottom w:color="000000" w:space="0" w:sz="4" w:val="single"/>
              <w:right w:color="000000" w:space="0" w:sz="4" w:val="single"/>
            </w:tcBorders>
            <w:tcMar>
              <w:top w:w="55.0" w:type="dxa"/>
              <w:left w:w="55.0" w:type="dxa"/>
              <w:bottom w:w="55.0" w:type="dxa"/>
              <w:right w:w="55.0" w:type="dxa"/>
            </w:tcMa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During the first periodic destruction period following the expiry of the retention period</w:t>
            </w:r>
          </w:p>
        </w:tc>
      </w:tr>
    </w:tbl>
    <w:p w:rsidR="00000000" w:rsidDel="00000000" w:rsidP="00000000" w:rsidRDefault="00000000" w:rsidRPr="00000000" w14:paraId="000000E8">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792" w:right="0" w:hanging="43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ijbma1innbwy" w:id="11"/>
      <w:bookmarkEnd w:id="1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PERIODIC DESTRUCTION PERIOD</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The Organization has determined the periodic destruction interval as once per year. Pursuant to this arrangement, the periodic destruction process takes place in the second week of December each year.</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0080.0" w:type="dxa"/>
      <w:jc w:val="left"/>
      <w:tblInd w:w="-5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5"/>
      <w:gridCol w:w="4095"/>
      <w:gridCol w:w="2001"/>
      <w:gridCol w:w="1779"/>
      <w:tblGridChange w:id="0">
        <w:tblGrid>
          <w:gridCol w:w="2205"/>
          <w:gridCol w:w="4095"/>
          <w:gridCol w:w="2001"/>
          <w:gridCol w:w="1779"/>
        </w:tblGrid>
      </w:tblGridChange>
    </w:tblGrid>
    <w:tr>
      <w:trPr>
        <w:cantSplit w:val="0"/>
        <w:trHeight w:val="340" w:hRule="atLeast"/>
        <w:tblHeader w:val="0"/>
      </w:trPr>
      <w:tc>
        <w:tcPr>
          <w:vMerge w:val="restart"/>
          <w:vAlign w:val="center"/>
        </w:tcPr>
        <w:p w:rsidR="00000000" w:rsidDel="00000000" w:rsidP="00000000" w:rsidRDefault="00000000" w:rsidRPr="00000000" w14:paraId="000000EE">
          <w:pPr>
            <w:tabs>
              <w:tab w:val="center" w:leader="none" w:pos="4153"/>
              <w:tab w:val="right" w:leader="none" w:pos="8306"/>
            </w:tabs>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57300" cy="45783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7300" cy="45783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EF">
          <w:pPr>
            <w:jc w:val="center"/>
            <w:rPr>
              <w:rFonts w:ascii="Calibri" w:cs="Calibri" w:eastAsia="Calibri" w:hAnsi="Calibri"/>
              <w:sz w:val="32"/>
              <w:szCs w:val="32"/>
            </w:rPr>
          </w:pPr>
          <w:r w:rsidDel="00000000" w:rsidR="00000000" w:rsidRPr="00000000">
            <w:rPr>
              <w:rFonts w:ascii="Calibri" w:cs="Calibri" w:eastAsia="Calibri" w:hAnsi="Calibri"/>
              <w:b w:val="1"/>
              <w:bCs w:val="1"/>
              <w:sz w:val="32"/>
              <w:szCs w:val="32"/>
              <w:rtl w:val="0"/>
            </w:rPr>
            <w:t>PROCEDURE</w:t>
          </w:r>
          <w:r w:rsidDel="00000000" w:rsidR="00000000" w:rsidRPr="00000000">
            <w:rPr>
              <w:rtl w:val="0"/>
            </w:rPr>
          </w:r>
        </w:p>
      </w:tc>
      <w:tc>
        <w:tcPr>
          <w:vAlign w:val="center"/>
        </w:tcPr>
        <w:p w:rsidR="00000000" w:rsidDel="00000000" w:rsidP="00000000" w:rsidRDefault="00000000" w:rsidRPr="00000000" w14:paraId="000000F0">
          <w:pPr>
            <w:jc w:val="center"/>
            <w:rPr>
              <w:rFonts w:ascii="Calibri" w:cs="Calibri" w:eastAsia="Calibri" w:hAnsi="Calibri"/>
            </w:rPr>
          </w:pPr>
          <w:r w:rsidDel="00000000" w:rsidR="00000000" w:rsidRPr="00000000">
            <w:rPr>
              <w:rFonts w:ascii="Calibri" w:cs="Calibri" w:eastAsia="Calibri" w:hAnsi="Calibri"/>
              <w:rtl w:val="0"/>
            </w:rPr>
            <w:t>Effective Date</w:t>
          </w:r>
        </w:p>
      </w:tc>
      <w:tc>
        <w:tcPr>
          <w:vAlign w:val="center"/>
        </w:tcPr>
        <w:p w:rsidR="00000000" w:rsidDel="00000000" w:rsidP="00000000" w:rsidRDefault="00000000" w:rsidRPr="00000000" w14:paraId="000000F1">
          <w:pPr>
            <w:jc w:val="center"/>
            <w:rPr>
              <w:rFonts w:ascii="Calibri" w:cs="Calibri" w:eastAsia="Calibri" w:hAnsi="Calibri"/>
            </w:rPr>
          </w:pPr>
          <w:r w:rsidDel="00000000" w:rsidR="00000000" w:rsidRPr="00000000">
            <w:rPr>
              <w:rFonts w:ascii="Calibri" w:cs="Calibri" w:eastAsia="Calibri" w:hAnsi="Calibri"/>
              <w:rtl w:val="0"/>
            </w:rPr>
            <w:t xml:space="preserve">15.06.2026</w:t>
          </w:r>
        </w:p>
      </w:tc>
    </w:tr>
    <w:tr>
      <w:trPr>
        <w:cantSplit w:val="0"/>
        <w:trHeight w:val="340" w:hRule="atLeast"/>
        <w:tblHeader w:val="0"/>
      </w:trPr>
      <w:tc>
        <w:tcPr>
          <w:vMerge w:val="continue"/>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F4">
          <w:pPr>
            <w:jc w:val="center"/>
            <w:rPr>
              <w:rFonts w:ascii="Calibri" w:cs="Calibri" w:eastAsia="Calibri" w:hAnsi="Calibri"/>
            </w:rPr>
          </w:pPr>
          <w:r w:rsidDel="00000000" w:rsidR="00000000" w:rsidRPr="00000000">
            <w:rPr>
              <w:rFonts w:ascii="Calibri" w:cs="Calibri" w:eastAsia="Calibri" w:hAnsi="Calibri"/>
              <w:rtl w:val="0"/>
            </w:rPr>
            <w:t>Document No</w:t>
          </w:r>
        </w:p>
      </w:tc>
      <w:tc>
        <w:tcPr>
          <w:vAlign w:val="center"/>
        </w:tcPr>
        <w:p w:rsidR="00000000" w:rsidDel="00000000" w:rsidP="00000000" w:rsidRDefault="00000000" w:rsidRPr="00000000" w14:paraId="000000F5">
          <w:pPr>
            <w:jc w:val="center"/>
            <w:rPr>
              <w:rFonts w:ascii="Calibri" w:cs="Calibri" w:eastAsia="Calibri" w:hAnsi="Calibri"/>
            </w:rPr>
          </w:pPr>
          <w:r w:rsidDel="00000000" w:rsidR="00000000" w:rsidRPr="00000000">
            <w:rPr>
              <w:rFonts w:ascii="Calibri" w:cs="Calibri" w:eastAsia="Calibri" w:hAnsi="Calibri"/>
              <w:rtl w:val="0"/>
            </w:rPr>
            <w:t xml:space="preserve">KV.PR.06</w:t>
          </w:r>
        </w:p>
      </w:tc>
    </w:tr>
    <w:tr>
      <w:trPr>
        <w:cantSplit w:val="0"/>
        <w:trHeight w:val="340" w:hRule="atLeast"/>
        <w:tblHeader w:val="0"/>
      </w:trPr>
      <w:tc>
        <w:tcPr>
          <w:vMerge w:val="continue"/>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F8">
          <w:pPr>
            <w:jc w:val="center"/>
            <w:rPr>
              <w:rFonts w:ascii="Calibri" w:cs="Calibri" w:eastAsia="Calibri" w:hAnsi="Calibri"/>
            </w:rPr>
          </w:pPr>
          <w:r w:rsidDel="00000000" w:rsidR="00000000" w:rsidRPr="00000000">
            <w:rPr>
              <w:rFonts w:ascii="Calibri" w:cs="Calibri" w:eastAsia="Calibri" w:hAnsi="Calibri"/>
              <w:rtl w:val="0"/>
            </w:rPr>
            <w:t>Revision Date/No</w:t>
          </w:r>
        </w:p>
      </w:tc>
      <w:tc>
        <w:tcPr>
          <w:vAlign w:val="center"/>
        </w:tcPr>
        <w:p w:rsidR="00000000" w:rsidDel="00000000" w:rsidP="00000000" w:rsidRDefault="00000000" w:rsidRPr="00000000" w14:paraId="000000F9">
          <w:pPr>
            <w:jc w:val="center"/>
            <w:rPr>
              <w:rFonts w:ascii="Calibri" w:cs="Calibri" w:eastAsia="Calibri" w:hAnsi="Calibri"/>
            </w:rPr>
          </w:pPr>
          <w:r w:rsidDel="00000000" w:rsidR="00000000" w:rsidRPr="00000000">
            <w:rPr>
              <w:rFonts w:ascii="Calibri" w:cs="Calibri" w:eastAsia="Calibri" w:hAnsi="Calibri"/>
              <w:rtl w:val="0"/>
            </w:rPr>
            <w:t xml:space="preserve">00</w:t>
          </w:r>
        </w:p>
      </w:tc>
    </w:tr>
    <w:tr>
      <w:trPr>
        <w:cantSplit w:val="0"/>
        <w:trHeight w:val="340" w:hRule="atLeast"/>
        <w:tblHeader w:val="0"/>
      </w:trPr>
      <w:tc>
        <w:tcPr>
          <w:vMerge w:val="continue"/>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FC">
          <w:pPr>
            <w:jc w:val="center"/>
            <w:rPr>
              <w:rFonts w:ascii="Calibri" w:cs="Calibri" w:eastAsia="Calibri" w:hAnsi="Calibri"/>
            </w:rPr>
          </w:pPr>
          <w:r w:rsidDel="00000000" w:rsidR="00000000" w:rsidRPr="00000000">
            <w:rPr>
              <w:rFonts w:ascii="Calibri" w:cs="Calibri" w:eastAsia="Calibri" w:hAnsi="Calibri"/>
              <w:rtl w:val="0"/>
            </w:rPr>
            <w:t>Page No</w:t>
          </w:r>
        </w:p>
      </w:tc>
      <w:tc>
        <w:tcPr>
          <w:vAlign w:val="center"/>
        </w:tcPr>
        <w:p w:rsidR="00000000" w:rsidDel="00000000" w:rsidP="00000000" w:rsidRDefault="00000000" w:rsidRPr="00000000" w14:paraId="000000FD">
          <w:pPr>
            <w:jc w:val="center"/>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 1</w:t>
          </w:r>
        </w:p>
      </w:tc>
    </w:tr>
    <w:tr>
      <w:trPr>
        <w:cantSplit w:val="0"/>
        <w:trHeight w:val="510" w:hRule="atLeast"/>
        <w:tblHeader w:val="0"/>
      </w:trPr>
      <w:tc>
        <w:tcPr>
          <w:vAlign w:val="center"/>
        </w:tcPr>
        <w:p w:rsidR="00000000" w:rsidDel="00000000" w:rsidP="00000000" w:rsidRDefault="00000000" w:rsidRPr="00000000" w14:paraId="000000FE">
          <w:pPr>
            <w:jc w:val="center"/>
            <w:rPr>
              <w:rFonts w:ascii="Calibri" w:cs="Calibri" w:eastAsia="Calibri" w:hAnsi="Calibri"/>
            </w:rPr>
          </w:pPr>
          <w:r w:rsidDel="00000000" w:rsidR="00000000" w:rsidRPr="00000000">
            <w:rPr>
              <w:rFonts w:ascii="Calibri" w:cs="Calibri" w:eastAsia="Calibri" w:hAnsi="Calibri"/>
              <w:rtl w:val="0"/>
            </w:rPr>
            <w:t>DOCUMENT NAME</w:t>
          </w:r>
        </w:p>
      </w:tc>
      <w:tc>
        <w:tcPr>
          <w:gridSpan w:val="3"/>
          <w:vAlign w:val="center"/>
        </w:tcPr>
        <w:p w:rsidR="00000000" w:rsidDel="00000000" w:rsidP="00000000" w:rsidRDefault="00000000" w:rsidRPr="00000000" w14:paraId="000000FF">
          <w:pPr>
            <w:jc w:val="center"/>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RETENTION AND DESTRUCTION PROCEDURE</w:t>
          </w:r>
        </w:p>
      </w:tc>
    </w:tr>
  </w:tbl>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0"/>
      <w:numFmt w:val="bullet"/>
      <w:lvlText w:val="•"/>
      <w:lvlJc w:val="left"/>
      <w:pPr>
        <w:ind w:left="720" w:hanging="360"/>
      </w:pPr>
      <w:rPr>
        <w:rFonts w:ascii="DejaVu Sans" w:cs="DejaVu Sans" w:eastAsia="DejaVu Sans" w:hAnsi="DejaVu Sans"/>
      </w:rPr>
    </w:lvl>
    <w:lvl w:ilvl="1">
      <w:start w:val="0"/>
      <w:numFmt w:val="bullet"/>
      <w:lvlText w:val="◦"/>
      <w:lvlJc w:val="left"/>
      <w:pPr>
        <w:ind w:left="1080" w:hanging="360"/>
      </w:pPr>
      <w:rPr>
        <w:rFonts w:ascii="DejaVu Sans" w:cs="DejaVu Sans" w:eastAsia="DejaVu Sans" w:hAnsi="DejaVu Sans"/>
      </w:rPr>
    </w:lvl>
    <w:lvl w:ilvl="2">
      <w:start w:val="0"/>
      <w:numFmt w:val="bullet"/>
      <w:lvlText w:val="▪"/>
      <w:lvlJc w:val="left"/>
      <w:pPr>
        <w:ind w:left="1440" w:hanging="360"/>
      </w:pPr>
      <w:rPr>
        <w:rFonts w:ascii="DejaVu Sans" w:cs="DejaVu Sans" w:eastAsia="DejaVu Sans" w:hAnsi="DejaVu Sans"/>
      </w:rPr>
    </w:lvl>
    <w:lvl w:ilvl="3">
      <w:start w:val="0"/>
      <w:numFmt w:val="bullet"/>
      <w:lvlText w:val="•"/>
      <w:lvlJc w:val="left"/>
      <w:pPr>
        <w:ind w:left="1800" w:hanging="360"/>
      </w:pPr>
      <w:rPr>
        <w:rFonts w:ascii="DejaVu Sans" w:cs="DejaVu Sans" w:eastAsia="DejaVu Sans" w:hAnsi="DejaVu Sans"/>
      </w:rPr>
    </w:lvl>
    <w:lvl w:ilvl="4">
      <w:start w:val="0"/>
      <w:numFmt w:val="bullet"/>
      <w:lvlText w:val="◦"/>
      <w:lvlJc w:val="left"/>
      <w:pPr>
        <w:ind w:left="2160" w:hanging="360"/>
      </w:pPr>
      <w:rPr>
        <w:rFonts w:ascii="DejaVu Sans" w:cs="DejaVu Sans" w:eastAsia="DejaVu Sans" w:hAnsi="DejaVu Sans"/>
      </w:rPr>
    </w:lvl>
    <w:lvl w:ilvl="5">
      <w:start w:val="0"/>
      <w:numFmt w:val="bullet"/>
      <w:lvlText w:val="▪"/>
      <w:lvlJc w:val="left"/>
      <w:pPr>
        <w:ind w:left="2520" w:hanging="360"/>
      </w:pPr>
      <w:rPr>
        <w:rFonts w:ascii="DejaVu Sans" w:cs="DejaVu Sans" w:eastAsia="DejaVu Sans" w:hAnsi="DejaVu Sans"/>
      </w:rPr>
    </w:lvl>
    <w:lvl w:ilvl="6">
      <w:start w:val="0"/>
      <w:numFmt w:val="bullet"/>
      <w:lvlText w:val="•"/>
      <w:lvlJc w:val="left"/>
      <w:pPr>
        <w:ind w:left="2880" w:hanging="360"/>
      </w:pPr>
      <w:rPr>
        <w:rFonts w:ascii="DejaVu Sans" w:cs="DejaVu Sans" w:eastAsia="DejaVu Sans" w:hAnsi="DejaVu Sans"/>
      </w:rPr>
    </w:lvl>
    <w:lvl w:ilvl="7">
      <w:start w:val="0"/>
      <w:numFmt w:val="bullet"/>
      <w:lvlText w:val="◦"/>
      <w:lvlJc w:val="left"/>
      <w:pPr>
        <w:ind w:left="3240" w:hanging="360"/>
      </w:pPr>
      <w:rPr>
        <w:rFonts w:ascii="DejaVu Sans" w:cs="DejaVu Sans" w:eastAsia="DejaVu Sans" w:hAnsi="DejaVu Sans"/>
      </w:rPr>
    </w:lvl>
    <w:lvl w:ilvl="8">
      <w:start w:val="0"/>
      <w:numFmt w:val="bullet"/>
      <w:lvlText w:val="▪"/>
      <w:lvlJc w:val="left"/>
      <w:pPr>
        <w:ind w:left="3600" w:hanging="360"/>
      </w:pPr>
      <w:rPr>
        <w:rFonts w:ascii="DejaVu Sans" w:cs="DejaVu Sans" w:eastAsia="DejaVu Sans" w:hAnsi="DejaVu Sans"/>
      </w:rPr>
    </w:lvl>
  </w:abstractNum>
  <w:abstractNum w:abstractNumId="4">
    <w:lvl w:ilvl="0">
      <w:start w:val="0"/>
      <w:numFmt w:val="bullet"/>
      <w:lvlText w:val="•"/>
      <w:lvlJc w:val="left"/>
      <w:pPr>
        <w:ind w:left="720" w:hanging="360"/>
      </w:pPr>
      <w:rPr>
        <w:rFonts w:ascii="DejaVu Sans" w:cs="DejaVu Sans" w:eastAsia="DejaVu Sans" w:hAnsi="DejaVu Sans"/>
      </w:rPr>
    </w:lvl>
    <w:lvl w:ilvl="1">
      <w:start w:val="0"/>
      <w:numFmt w:val="bullet"/>
      <w:lvlText w:val="◦"/>
      <w:lvlJc w:val="left"/>
      <w:pPr>
        <w:ind w:left="1080" w:hanging="360"/>
      </w:pPr>
      <w:rPr>
        <w:rFonts w:ascii="DejaVu Sans" w:cs="DejaVu Sans" w:eastAsia="DejaVu Sans" w:hAnsi="DejaVu Sans"/>
      </w:rPr>
    </w:lvl>
    <w:lvl w:ilvl="2">
      <w:start w:val="0"/>
      <w:numFmt w:val="bullet"/>
      <w:lvlText w:val="▪"/>
      <w:lvlJc w:val="left"/>
      <w:pPr>
        <w:ind w:left="1440" w:hanging="360"/>
      </w:pPr>
      <w:rPr>
        <w:rFonts w:ascii="DejaVu Sans" w:cs="DejaVu Sans" w:eastAsia="DejaVu Sans" w:hAnsi="DejaVu Sans"/>
      </w:rPr>
    </w:lvl>
    <w:lvl w:ilvl="3">
      <w:start w:val="0"/>
      <w:numFmt w:val="bullet"/>
      <w:lvlText w:val="•"/>
      <w:lvlJc w:val="left"/>
      <w:pPr>
        <w:ind w:left="1800" w:hanging="360"/>
      </w:pPr>
      <w:rPr>
        <w:rFonts w:ascii="DejaVu Sans" w:cs="DejaVu Sans" w:eastAsia="DejaVu Sans" w:hAnsi="DejaVu Sans"/>
      </w:rPr>
    </w:lvl>
    <w:lvl w:ilvl="4">
      <w:start w:val="0"/>
      <w:numFmt w:val="bullet"/>
      <w:lvlText w:val="◦"/>
      <w:lvlJc w:val="left"/>
      <w:pPr>
        <w:ind w:left="2160" w:hanging="360"/>
      </w:pPr>
      <w:rPr>
        <w:rFonts w:ascii="DejaVu Sans" w:cs="DejaVu Sans" w:eastAsia="DejaVu Sans" w:hAnsi="DejaVu Sans"/>
      </w:rPr>
    </w:lvl>
    <w:lvl w:ilvl="5">
      <w:start w:val="0"/>
      <w:numFmt w:val="bullet"/>
      <w:lvlText w:val="▪"/>
      <w:lvlJc w:val="left"/>
      <w:pPr>
        <w:ind w:left="2520" w:hanging="360"/>
      </w:pPr>
      <w:rPr>
        <w:rFonts w:ascii="DejaVu Sans" w:cs="DejaVu Sans" w:eastAsia="DejaVu Sans" w:hAnsi="DejaVu Sans"/>
      </w:rPr>
    </w:lvl>
    <w:lvl w:ilvl="6">
      <w:start w:val="0"/>
      <w:numFmt w:val="bullet"/>
      <w:lvlText w:val="•"/>
      <w:lvlJc w:val="left"/>
      <w:pPr>
        <w:ind w:left="2880" w:hanging="360"/>
      </w:pPr>
      <w:rPr>
        <w:rFonts w:ascii="DejaVu Sans" w:cs="DejaVu Sans" w:eastAsia="DejaVu Sans" w:hAnsi="DejaVu Sans"/>
      </w:rPr>
    </w:lvl>
    <w:lvl w:ilvl="7">
      <w:start w:val="0"/>
      <w:numFmt w:val="bullet"/>
      <w:lvlText w:val="◦"/>
      <w:lvlJc w:val="left"/>
      <w:pPr>
        <w:ind w:left="3240" w:hanging="360"/>
      </w:pPr>
      <w:rPr>
        <w:rFonts w:ascii="DejaVu Sans" w:cs="DejaVu Sans" w:eastAsia="DejaVu Sans" w:hAnsi="DejaVu Sans"/>
      </w:rPr>
    </w:lvl>
    <w:lvl w:ilvl="8">
      <w:start w:val="0"/>
      <w:numFmt w:val="bullet"/>
      <w:lvlText w:val="▪"/>
      <w:lvlJc w:val="left"/>
      <w:pPr>
        <w:ind w:left="3600" w:hanging="360"/>
      </w:pPr>
      <w:rPr>
        <w:rFonts w:ascii="DejaVu Sans" w:cs="DejaVu Sans" w:eastAsia="DejaVu Sans" w:hAnsi="DejaVu Sans"/>
      </w:rPr>
    </w:lvl>
  </w:abstractNum>
  <w:abstractNum w:abstractNumId="5">
    <w:lvl w:ilvl="0">
      <w:start w:val="0"/>
      <w:numFmt w:val="bullet"/>
      <w:lvlText w:val="•"/>
      <w:lvlJc w:val="left"/>
      <w:pPr>
        <w:ind w:left="720" w:hanging="360"/>
      </w:pPr>
      <w:rPr>
        <w:rFonts w:ascii="DejaVu Sans" w:cs="DejaVu Sans" w:eastAsia="DejaVu Sans" w:hAnsi="DejaVu Sans"/>
      </w:rPr>
    </w:lvl>
    <w:lvl w:ilvl="1">
      <w:start w:val="0"/>
      <w:numFmt w:val="bullet"/>
      <w:lvlText w:val="◦"/>
      <w:lvlJc w:val="left"/>
      <w:pPr>
        <w:ind w:left="1080" w:hanging="360"/>
      </w:pPr>
      <w:rPr>
        <w:rFonts w:ascii="DejaVu Sans" w:cs="DejaVu Sans" w:eastAsia="DejaVu Sans" w:hAnsi="DejaVu Sans"/>
      </w:rPr>
    </w:lvl>
    <w:lvl w:ilvl="2">
      <w:start w:val="0"/>
      <w:numFmt w:val="bullet"/>
      <w:lvlText w:val="▪"/>
      <w:lvlJc w:val="left"/>
      <w:pPr>
        <w:ind w:left="1440" w:hanging="360"/>
      </w:pPr>
      <w:rPr>
        <w:rFonts w:ascii="DejaVu Sans" w:cs="DejaVu Sans" w:eastAsia="DejaVu Sans" w:hAnsi="DejaVu Sans"/>
      </w:rPr>
    </w:lvl>
    <w:lvl w:ilvl="3">
      <w:start w:val="0"/>
      <w:numFmt w:val="bullet"/>
      <w:lvlText w:val="•"/>
      <w:lvlJc w:val="left"/>
      <w:pPr>
        <w:ind w:left="1800" w:hanging="360"/>
      </w:pPr>
      <w:rPr>
        <w:rFonts w:ascii="DejaVu Sans" w:cs="DejaVu Sans" w:eastAsia="DejaVu Sans" w:hAnsi="DejaVu Sans"/>
      </w:rPr>
    </w:lvl>
    <w:lvl w:ilvl="4">
      <w:start w:val="0"/>
      <w:numFmt w:val="bullet"/>
      <w:lvlText w:val="◦"/>
      <w:lvlJc w:val="left"/>
      <w:pPr>
        <w:ind w:left="2160" w:hanging="360"/>
      </w:pPr>
      <w:rPr>
        <w:rFonts w:ascii="DejaVu Sans" w:cs="DejaVu Sans" w:eastAsia="DejaVu Sans" w:hAnsi="DejaVu Sans"/>
      </w:rPr>
    </w:lvl>
    <w:lvl w:ilvl="5">
      <w:start w:val="0"/>
      <w:numFmt w:val="bullet"/>
      <w:lvlText w:val="▪"/>
      <w:lvlJc w:val="left"/>
      <w:pPr>
        <w:ind w:left="2520" w:hanging="360"/>
      </w:pPr>
      <w:rPr>
        <w:rFonts w:ascii="DejaVu Sans" w:cs="DejaVu Sans" w:eastAsia="DejaVu Sans" w:hAnsi="DejaVu Sans"/>
      </w:rPr>
    </w:lvl>
    <w:lvl w:ilvl="6">
      <w:start w:val="0"/>
      <w:numFmt w:val="bullet"/>
      <w:lvlText w:val="•"/>
      <w:lvlJc w:val="left"/>
      <w:pPr>
        <w:ind w:left="2880" w:hanging="360"/>
      </w:pPr>
      <w:rPr>
        <w:rFonts w:ascii="DejaVu Sans" w:cs="DejaVu Sans" w:eastAsia="DejaVu Sans" w:hAnsi="DejaVu Sans"/>
      </w:rPr>
    </w:lvl>
    <w:lvl w:ilvl="7">
      <w:start w:val="0"/>
      <w:numFmt w:val="bullet"/>
      <w:lvlText w:val="◦"/>
      <w:lvlJc w:val="left"/>
      <w:pPr>
        <w:ind w:left="3240" w:hanging="360"/>
      </w:pPr>
      <w:rPr>
        <w:rFonts w:ascii="DejaVu Sans" w:cs="DejaVu Sans" w:eastAsia="DejaVu Sans" w:hAnsi="DejaVu Sans"/>
      </w:rPr>
    </w:lvl>
    <w:lvl w:ilvl="8">
      <w:start w:val="0"/>
      <w:numFmt w:val="bullet"/>
      <w:lvlText w:val="▪"/>
      <w:lvlJc w:val="left"/>
      <w:pPr>
        <w:ind w:left="3600" w:hanging="360"/>
      </w:pPr>
      <w:rPr>
        <w:rFonts w:ascii="DejaVu Sans" w:cs="DejaVu Sans" w:eastAsia="DejaVu Sans" w:hAnsi="DejaVu Sans"/>
      </w:rPr>
    </w:lvl>
  </w:abstractNum>
  <w:abstractNum w:abstractNumId="6">
    <w:lvl w:ilvl="0">
      <w:start w:val="0"/>
      <w:numFmt w:val="bullet"/>
      <w:lvlText w:val="•"/>
      <w:lvlJc w:val="left"/>
      <w:pPr>
        <w:ind w:left="720" w:hanging="360"/>
      </w:pPr>
      <w:rPr>
        <w:rFonts w:ascii="DejaVu Sans" w:cs="DejaVu Sans" w:eastAsia="DejaVu Sans" w:hAnsi="DejaVu Sans"/>
      </w:rPr>
    </w:lvl>
    <w:lvl w:ilvl="1">
      <w:start w:val="0"/>
      <w:numFmt w:val="bullet"/>
      <w:lvlText w:val="◦"/>
      <w:lvlJc w:val="left"/>
      <w:pPr>
        <w:ind w:left="1080" w:hanging="360"/>
      </w:pPr>
      <w:rPr>
        <w:rFonts w:ascii="DejaVu Sans" w:cs="DejaVu Sans" w:eastAsia="DejaVu Sans" w:hAnsi="DejaVu Sans"/>
      </w:rPr>
    </w:lvl>
    <w:lvl w:ilvl="2">
      <w:start w:val="0"/>
      <w:numFmt w:val="bullet"/>
      <w:lvlText w:val="▪"/>
      <w:lvlJc w:val="left"/>
      <w:pPr>
        <w:ind w:left="1440" w:hanging="360"/>
      </w:pPr>
      <w:rPr>
        <w:rFonts w:ascii="DejaVu Sans" w:cs="DejaVu Sans" w:eastAsia="DejaVu Sans" w:hAnsi="DejaVu Sans"/>
      </w:rPr>
    </w:lvl>
    <w:lvl w:ilvl="3">
      <w:start w:val="0"/>
      <w:numFmt w:val="bullet"/>
      <w:lvlText w:val="•"/>
      <w:lvlJc w:val="left"/>
      <w:pPr>
        <w:ind w:left="1800" w:hanging="360"/>
      </w:pPr>
      <w:rPr>
        <w:rFonts w:ascii="DejaVu Sans" w:cs="DejaVu Sans" w:eastAsia="DejaVu Sans" w:hAnsi="DejaVu Sans"/>
      </w:rPr>
    </w:lvl>
    <w:lvl w:ilvl="4">
      <w:start w:val="0"/>
      <w:numFmt w:val="bullet"/>
      <w:lvlText w:val="◦"/>
      <w:lvlJc w:val="left"/>
      <w:pPr>
        <w:ind w:left="2160" w:hanging="360"/>
      </w:pPr>
      <w:rPr>
        <w:rFonts w:ascii="DejaVu Sans" w:cs="DejaVu Sans" w:eastAsia="DejaVu Sans" w:hAnsi="DejaVu Sans"/>
      </w:rPr>
    </w:lvl>
    <w:lvl w:ilvl="5">
      <w:start w:val="0"/>
      <w:numFmt w:val="bullet"/>
      <w:lvlText w:val="▪"/>
      <w:lvlJc w:val="left"/>
      <w:pPr>
        <w:ind w:left="2520" w:hanging="360"/>
      </w:pPr>
      <w:rPr>
        <w:rFonts w:ascii="DejaVu Sans" w:cs="DejaVu Sans" w:eastAsia="DejaVu Sans" w:hAnsi="DejaVu Sans"/>
      </w:rPr>
    </w:lvl>
    <w:lvl w:ilvl="6">
      <w:start w:val="0"/>
      <w:numFmt w:val="bullet"/>
      <w:lvlText w:val="•"/>
      <w:lvlJc w:val="left"/>
      <w:pPr>
        <w:ind w:left="2880" w:hanging="360"/>
      </w:pPr>
      <w:rPr>
        <w:rFonts w:ascii="DejaVu Sans" w:cs="DejaVu Sans" w:eastAsia="DejaVu Sans" w:hAnsi="DejaVu Sans"/>
      </w:rPr>
    </w:lvl>
    <w:lvl w:ilvl="7">
      <w:start w:val="0"/>
      <w:numFmt w:val="bullet"/>
      <w:lvlText w:val="◦"/>
      <w:lvlJc w:val="left"/>
      <w:pPr>
        <w:ind w:left="3240" w:hanging="360"/>
      </w:pPr>
      <w:rPr>
        <w:rFonts w:ascii="DejaVu Sans" w:cs="DejaVu Sans" w:eastAsia="DejaVu Sans" w:hAnsi="DejaVu Sans"/>
      </w:rPr>
    </w:lvl>
    <w:lvl w:ilvl="8">
      <w:start w:val="0"/>
      <w:numFmt w:val="bullet"/>
      <w:lvlText w:val="▪"/>
      <w:lvlJc w:val="left"/>
      <w:pPr>
        <w:ind w:left="3600" w:hanging="360"/>
      </w:pPr>
      <w:rPr>
        <w:rFonts w:ascii="DejaVu Sans" w:cs="DejaVu Sans" w:eastAsia="DejaVu Sans" w:hAnsi="DejaVu Sans"/>
      </w:rPr>
    </w:lvl>
  </w:abstractNum>
  <w:abstractNum w:abstractNumId="7">
    <w:lvl w:ilvl="0">
      <w:start w:val="1"/>
      <w:numFmt w:val="bullet"/>
      <w:lvlText w:val="•"/>
      <w:lvlJc w:val="left"/>
      <w:pPr>
        <w:ind w:left="720" w:hanging="360"/>
      </w:pPr>
      <w:rPr>
        <w:rFonts w:ascii="DejaVu Sans" w:cs="DejaVu Sans" w:eastAsia="DejaVu Sans" w:hAnsi="DejaVu Sans"/>
      </w:rPr>
    </w:lvl>
    <w:lvl w:ilvl="1">
      <w:start w:val="1"/>
      <w:numFmt w:val="bullet"/>
      <w:lvlText w:val="o"/>
      <w:lvlJc w:val="left"/>
      <w:pPr>
        <w:ind w:left="1440" w:hanging="360"/>
      </w:pPr>
      <w:rPr>
        <w:rFonts w:ascii="DejaVu Sans" w:cs="DejaVu Sans" w:eastAsia="DejaVu Sans" w:hAnsi="DejaVu Sans"/>
      </w:rPr>
    </w:lvl>
    <w:lvl w:ilvl="2">
      <w:start w:val="1"/>
      <w:numFmt w:val="bullet"/>
      <w:lvlText w:val="▪"/>
      <w:lvlJc w:val="left"/>
      <w:pPr>
        <w:ind w:left="2160" w:hanging="360"/>
      </w:pPr>
      <w:rPr>
        <w:rFonts w:ascii="DejaVu Sans" w:cs="DejaVu Sans" w:eastAsia="DejaVu Sans" w:hAnsi="DejaVu Sans"/>
      </w:rPr>
    </w:lvl>
    <w:lvl w:ilvl="3">
      <w:start w:val="1"/>
      <w:numFmt w:val="bullet"/>
      <w:lvlText w:val="●"/>
      <w:lvlJc w:val="left"/>
      <w:pPr>
        <w:ind w:left="2880" w:hanging="360"/>
      </w:pPr>
      <w:rPr>
        <w:rFonts w:ascii="DejaVu Sans" w:cs="DejaVu Sans" w:eastAsia="DejaVu Sans" w:hAnsi="DejaVu Sans"/>
      </w:rPr>
    </w:lvl>
    <w:lvl w:ilvl="4">
      <w:start w:val="1"/>
      <w:numFmt w:val="bullet"/>
      <w:lvlText w:val="o"/>
      <w:lvlJc w:val="left"/>
      <w:pPr>
        <w:ind w:left="3600" w:hanging="360"/>
      </w:pPr>
      <w:rPr>
        <w:rFonts w:ascii="DejaVu Sans" w:cs="DejaVu Sans" w:eastAsia="DejaVu Sans" w:hAnsi="DejaVu Sans"/>
      </w:rPr>
    </w:lvl>
    <w:lvl w:ilvl="5">
      <w:start w:val="1"/>
      <w:numFmt w:val="bullet"/>
      <w:lvlText w:val="▪"/>
      <w:lvlJc w:val="left"/>
      <w:pPr>
        <w:ind w:left="4320" w:hanging="360"/>
      </w:pPr>
      <w:rPr>
        <w:rFonts w:ascii="DejaVu Sans" w:cs="DejaVu Sans" w:eastAsia="DejaVu Sans" w:hAnsi="DejaVu Sans"/>
      </w:rPr>
    </w:lvl>
    <w:lvl w:ilvl="6">
      <w:start w:val="1"/>
      <w:numFmt w:val="bullet"/>
      <w:lvlText w:val="●"/>
      <w:lvlJc w:val="left"/>
      <w:pPr>
        <w:ind w:left="5040" w:hanging="360"/>
      </w:pPr>
      <w:rPr>
        <w:rFonts w:ascii="DejaVu Sans" w:cs="DejaVu Sans" w:eastAsia="DejaVu Sans" w:hAnsi="DejaVu Sans"/>
      </w:rPr>
    </w:lvl>
    <w:lvl w:ilvl="7">
      <w:start w:val="1"/>
      <w:numFmt w:val="bullet"/>
      <w:lvlText w:val="o"/>
      <w:lvlJc w:val="left"/>
      <w:pPr>
        <w:ind w:left="5760" w:hanging="360"/>
      </w:pPr>
      <w:rPr>
        <w:rFonts w:ascii="DejaVu Sans" w:cs="DejaVu Sans" w:eastAsia="DejaVu Sans" w:hAnsi="DejaVu Sans"/>
      </w:rPr>
    </w:lvl>
    <w:lvl w:ilvl="8">
      <w:start w:val="1"/>
      <w:numFmt w:val="bullet"/>
      <w:lvlText w:val="▪"/>
      <w:lvlJc w:val="left"/>
      <w:pPr>
        <w:ind w:left="6480" w:hanging="360"/>
      </w:pPr>
      <w:rPr>
        <w:rFonts w:ascii="DejaVu Sans" w:cs="DejaVu Sans" w:eastAsia="DejaVu Sans" w:hAnsi="DejaVu Sans"/>
      </w:rPr>
    </w:lvl>
  </w:abstractNum>
  <w:abstractNum w:abstractNumId="8">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1"/>
        <w:bCs w:val="1"/>
      </w:rPr>
    </w:lvl>
    <w:lvl w:ilvl="3">
      <w:start w:val="1"/>
      <w:numFmt w:val="decimal"/>
      <w:lvlText w:val="%1.%2.%3.%4."/>
      <w:lvlJc w:val="left"/>
      <w:pPr>
        <w:ind w:left="1728" w:hanging="647.9999999999998"/>
      </w:pPr>
      <w:rPr>
        <w:b w:val="1"/>
        <w:bCs w:val="1"/>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t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