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Kişisel Veri Saklama ve İmha Politikası (“Politika”),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FEEDBACK4E YAZILIM DANIŞMANLIK TİCARET LİMİTED ŞİRKETİ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(“Veri Sorumlusu” olarak anılacaktır) bünyesinde işlenen kişisel verilerin saklama ve imha faaliyetlerine ilişkin usul ve esasları belirlemek amacıyla hazırlanmıştır.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 Politika,</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6698 sayılı Kişisel Verilerin Korunması Kanunu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’nun 7. ve 12. maddeleri uyarınca kişisel verilerin saklanması, silinmesi, yok edilmesi ve anonimleştirilmesine ilişkin yükümlülükleri,</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ISO/IEC 27001:2022 Bilgi Güvenliği Yönetim Sistemi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kapsamında bilgi varlıklarının yaşam döngüsü boyunca güvenli yönetimini sağlayan kontrolleri (örneğin A.5.33 Kayıtların korunması, A.5.34 Kişiyi tespit bilgisinin (PII) gizliliği ve korunması, A.8.10 Bilgi silme),</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ISO/IEC 27701:2019 Gizlilik Bilgi Yönetim Sistemi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gerekliliklerinden kişisel verilerin (PII) saklanma sürelerinin belirlenmesi ve gerekçelendirilmesine (7.4.7 Tutma), güvenli şekilde imhasına (7.4.5 Kişisel verilerin işleme sonunda anonim hale getirilmesi) ve şeffaflık ile hesap verebilirlik ilkelerine uyuma yönelik hükümleri esas almaktadır.</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Böylece Politika, Şirket’in uluslararası bilgi güvenliği ve gizlilik yönetim standartlarıyla entegrasyonunu güvence altına alır.</w:t>
      </w:r>
    </w:p>
    <w:p w:rsidR="00000000" w:rsidDel="00000000" w:rsidP="00000000" w:rsidRDefault="00000000" w:rsidRPr="00000000" w14:paraId="0000000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KAPSAM</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 Politika, Veri Sorumlusu bünyesinde işlenen tüm kişisel verilerin saklanması ve imhasına ilişkin iş ve işlemleri kapsamaktadır.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Veri Sorumlusu’nun sahip olduğu ya da Veri Sorumlusu tarafından yönetilen; Çalışan, Aday Çalışan, Tedarikçi, Müşteri, Müşteri Adayı, Çevrimiçi Ziyaretçi ve Diğer Üçüncü Kişilere (“Kişi Grupları”) ait kişisel verilerin işlendiği tüm kayıt ortamları (elektronik ve fiziksel) ve kişisel veri işleme faaliyetleri bu Politika hükümlerine tabidir.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 kapsamda:</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KVKK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uyarınca, veri sorumlusu tarafından işlenen tüm kişisel veriler saklama ve imha süreçlerine tabidir (m.7, m.12).</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ISO/IEC 27001:2022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kapsamında, bilgi güvenliği yönetim sistemi dâhilinde tüm bilgi varlıkları, kişisel veriler de dahil olmak üzere, saklama ve imha kontrolleri altına alınır (A.5.33 Kayıtların korunması, A.5.34 Kişiyi tespit bilgisinin (PII) gizliliği ve korunması, A.8.10 Bilgi silme).</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ISO/IEC 27701:2019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kapsamında, kişisel verilerin (PII) işlenmesi, saklanması ve imhası yalnızca önceden tanımlanmış, meşru ve şeffaf amaçlar doğrultusunda yürütülür; tüm ilgili kişi gruplarına ait veriler için PII Veri Sorumluus ve PII Veri İşleyen yükümlülükleri uygulanır (7.4.7, 7.4.5).</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Dolayısıyla bu Politika, uluslararası bilgi güvenliği ve gizlilik yönetim standartlarıyla uyumlu bir entegre veri yönetimi çerçevesi sağlar.</w:t>
      </w:r>
    </w:p>
    <w:p w:rsidR="00000000" w:rsidDel="00000000" w:rsidP="00000000" w:rsidRDefault="00000000" w:rsidRPr="00000000" w14:paraId="0000001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SORUMLULAR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Roller ve Sorumluluklar tablosunda belirtilen İrtibat Kişisi, Teknik Tedbirler Sorumlusu, İdari Tedbirler Sorumlusu ve Uyum Sorumlusu kontrolünde işbu politikanın uygulanması ve sürdürülebilir olması sağlanacaktır.  Ayrıca, veri sorumlusunun kişisel veri güvenliğinin sağlanmasına ilişkin yükümlülüklerini yerine getirilebilmesi için tüm çalışanlar, gereken tüm idari ve teknik tedbirlerin alınmasında ve bu Politika ’da yer alan süreçlerin yürütülmesinde her türlü önlemi almak ve gerekli çalışmaları yürütmekle sorumlu olan kişilere, destek vermelidir.  </w:t>
      </w:r>
    </w:p>
    <w:p w:rsidR="00000000" w:rsidDel="00000000" w:rsidP="00000000" w:rsidRDefault="00000000" w:rsidRPr="00000000" w14:paraId="00000012">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TANIMLAR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Kişisel Veri: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Kimliği belirli veya belirlenebilir gerçek kişiye ilişkin her türlü bilgi (KVKK m.3).</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Özel Nitelikli Kişisel Veri: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Irk, etnik köken, siyasi düşünce, sağlık bilgisi, biyometrik/genetik veri gibi hassas nitelikli veriler (KVKK m.6).</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Veri Sorumlusu: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Kişisel verilerin işleme amaçlarını ve vasıtalarını belirleyen, veri kayıt sisteminin kurulmasından ve yönetilmesinden sorumlu gerçek veya tüzel kişi (KVKK m.3).</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Veri İşleyen: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Veri Sorumlusu adına kişisel verileri işleyen taraf (ISO/IEC 27701).</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Saklama: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Kişisel verilerin yalnızca önceden belirlenen amaç için gerekli süre kadar tutulması (ISO/IEC 27701 – 7.3.3).</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İmha: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Kişisel verilerin silinmesi, yok edilmesi veya anonim hale getirilmesi işlemleri (KVKK m.7).</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Kişisel Verilerin Silinmesi: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Kişisel verilerin ilgili kullanıcılar için hiçbir şekilde erişilemez, geri getirilemez ve tekrar kullanılamaz hale getirilmesi.</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Kişisel Verilerin Yok Edilmesi: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Kişisel verilerin hiç kimse tarafından erişilemez, geri getirilemez ve tekrar kullanılamaz hale getirilmesi.</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Kişisel Verilerin Anonimleştirilmesi: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Kişisel verilerin, başka verilerle eşleştirilse dahi hiçbir şekilde kimliği belirli veya belirlenebilir bir kişiyle ilişkilendirilemeyecek hale getirilmesi.</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Bilgi Varlığı: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Kurum için değerli olan ve korunması gereken her türlü bilgi, veri, yazılım, donanım, belge ve kayıt .</w:t>
      </w:r>
    </w:p>
    <w:p w:rsidR="00000000" w:rsidDel="00000000" w:rsidP="00000000" w:rsidRDefault="00000000" w:rsidRPr="00000000" w14:paraId="0000001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İLGİLİ DOKÜMANLAR</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PR.06 Varlık Yönetimi Prosedürü</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PR.04 İç Denetim Prosedürü</w:t>
      </w:r>
    </w:p>
    <w:p w:rsidR="00000000" w:rsidDel="00000000" w:rsidP="00000000" w:rsidRDefault="00000000" w:rsidRPr="00000000" w14:paraId="00000021">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KV.PR.03 Özel Nitelikli Kişisel Veri İşleme Prosedürü</w:t>
      </w: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UYGULAMA</w:t>
      </w:r>
    </w:p>
    <w:p w:rsidR="00000000" w:rsidDel="00000000" w:rsidP="00000000" w:rsidRDefault="00000000" w:rsidRPr="00000000" w14:paraId="00000024">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8.00000000000006" w:lineRule="auto"/>
        <w:ind w:left="792" w:right="0" w:hanging="43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j5axm4ir254c" w:id="0"/>
      <w:bookmarkEnd w:id="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SAKLAMA</w:t>
      </w:r>
    </w:p>
    <w:p w:rsidR="00000000" w:rsidDel="00000000" w:rsidP="00000000" w:rsidRDefault="00000000" w:rsidRPr="00000000" w14:paraId="00000025">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6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Kişisel Verilerin Saklandığı Kayıt Ortamları</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Kişisel veriler, veri sorumlusu tarafından elektronik ve fiziksel kayıt ortamlarında; 6698 sayılı Kişisel Verileri Koruma Kanunu, ISO/IEC 27001:2022 Bilgi Güvenliği Yönetim Sistemi’nin bilgi varlıklarının güvenli saklanmasına ilişkin kontrolleri (A.5.9, A.5.33) ve ISO/IEC 27701:2019 Gizlilik Bilgi Yönetim Sistemi’nin kişisel verilerin saklanması ve imhasına yönelik gereklilikleri (7.4.7, 7.4.5) doğrultusunda korunmaktadır.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38.0" w:type="dxa"/>
        <w:jc w:val="left"/>
        <w:tblLayout w:type="fixed"/>
        <w:tblLook w:val="0000"/>
      </w:tblPr>
      <w:tblGrid>
        <w:gridCol w:w="4819"/>
        <w:gridCol w:w="4819"/>
        <w:tblGridChange w:id="0">
          <w:tblGrid>
            <w:gridCol w:w="4819"/>
            <w:gridCol w:w="4819"/>
          </w:tblGrid>
        </w:tblGridChange>
      </w:tblGrid>
      <w:tr>
        <w:trPr>
          <w:cantSplit w:val="0"/>
          <w:tblHeader w:val="0"/>
        </w:trPr>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Elektronik Ortamlar</w:t>
            </w:r>
          </w:p>
        </w:tc>
        <w:tc>
          <w:tcPr>
            <w:tcBorders>
              <w:top w:color="000000" w:space="0" w:sz="4" w:val="single"/>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Elektronik Olmayan Ortamlar</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Sunucular (e-posta, veritabanı, vb.)</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Yazılı, basılı, görsel ortamlar</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Yazılımlar (F4E, iş yazılımları vb.)</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Manuel veri kayıt sistemleri (zimmet teslim formu, anket formları, sözleşmeler, faturalar , iş başvuru formları v.b.)</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Bilgi güvenliği cihazları (Firewall)</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Yazıcı, tarayıcı, fotokopi makinesi</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Taşınabilir bellekler</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Kişisel bilgisayarlar</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 cihazlar</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38">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bookmarkStart w:colFirst="0" w:colLast="0" w:name="_tcdjpoylj5os" w:id="1"/>
      <w:bookmarkEnd w:id="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Kişisel Verilerin Saklanma Şartları</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1ybelj8jkge8" w:id="2"/>
      <w:bookmarkEnd w:id="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Kişisel verileriniz, Veri Sorumlusu tarafından, ilgili hukuki düzenlemede öngörülen veya işlendikleri amaç için gerekli süre kadar saklanmakta ve ilgili sürelerin bitiminde imha edilmektedir.</w:t>
      </w:r>
    </w:p>
    <w:p w:rsidR="00000000" w:rsidDel="00000000" w:rsidP="00000000" w:rsidRDefault="00000000" w:rsidRPr="00000000" w14:paraId="0000003B">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spacing w:after="160" w:before="0" w:line="278.00000000000006" w:lineRule="auto"/>
        <w:ind w:left="1728" w:right="0" w:hanging="648"/>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bookmarkStart w:colFirst="0" w:colLast="0" w:name="_qghzpccwzz0v" w:id="3"/>
      <w:bookmarkEnd w:id="3"/>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Kişisel Verileri Saklamayı Gerektiren Hukuki Düzenlemeler</w:t>
      </w: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Veri Sorumlusu tarafından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ISO 27001 Bilgi Güvenliği Yönetim Sistemi ve ISO 27701 Kişisel Veri Yönetim Sistemi kapsamında aşağıda yer alan ilgili yerel mevzuatta öngörülen saklama süreleri kadar saklanmaktadır;</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6698 sayılı Kişisel Verilerin Korunması Kanunu,</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6098 sayılı Türk Borçlar Kanunu,</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6102 sayılı Türk Ticaret Kanunu,  </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5510 sayılı Sosyal Sigortalar ve Genel Sağlık Sigortası Kanunu,</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5651 sayılı İnternet Ortamında Yapılan Yayınların Düzenlenmesi ve Bu Yayınlar Yoluyla İşlenen Suçlarla Mücadele Edilmesi Hakkında Kanun,</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213 sayılı Vergi Usul Kanunu,</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6361 sayılı İş Sağlığı ve Güvenliği Kanunu,</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4857 sayılı İş Kanunu,</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3308 sayılı Mesleki Eğitim Kanunu,</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Yürürlükte olan ilgili diğer hukuki düzenlemeler ile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spacing w:after="160" w:before="0" w:line="278.00000000000006" w:lineRule="auto"/>
        <w:ind w:left="1728" w:right="0" w:hanging="648"/>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bookmarkStart w:colFirst="0" w:colLast="0" w:name="_9lwwl0rrqwu9" w:id="4"/>
      <w:bookmarkEnd w:id="4"/>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Kişisel Verileri Saklamayı Gerektiren Amaçlar</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Veri Sorumlusu tarafından iş süreçleri ve faaliyetleri çerçevesinde işlenmekte olan ilgili kişilere ait kişisel veriler;  </w:t>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İnsan kaynakları süreçlerinin planlanması ve icrası,</w:t>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Özlük faaliyetlerinin yürütülmesi,</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Kurum denetim faaliyetlerinin planlanması ve icrası,</w:t>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Kurumun ve Kurumla iş ilişkisi içerisinde olan ilgili kişilerin hukuki, teknik ve ticari-iş güvenliğinin temin edilmesi,</w:t>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Pazarlama analiz çalışmalarının yürütülmesi,</w:t>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Reklam / kampanya / promosyon süreçlerinin yürütülmesi,</w:t>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İletişim faaliyetlerinin yürütülmesi,</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Ürün ve hizmetlerin geliştirilmesi çalışmalarının yürütülmesi,</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 ve hizmet üretim, satış ve operasyon süreçlerinin yürütülmesi,</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Firma / ürün / hizmetlere bağlılık süreçlerinin yürütülmesi,</w:t>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Denetim / etik faaliyetlerinin yürütülmesi,</w:t>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Erişim yetkilerinin yürütülmesi,</w:t>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Finans ve muhasebe işlerinin yürütülmesi,</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Hukuk işlerinin takibi ve yürütülmesi,</w:t>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İç denetim/ soruşturma / istihbarat faaliyetlerinin yürütülmesi,</w:t>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Talep ve şikayetlerin takibi,</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İş faaliyetlerinin yürütülmesi ve denetimi,</w:t>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İş süreçlerinin iyileştirilmesine yönelik önerilerin alınması ve değerlendirilmesi,</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İş sürekliliğinin sağlanması faaliyetlerinin yürütülmesi,</w:t>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Müşteri ilişkileri yönetimi süreçlerinin yürütülmesi amaçları doğrultusunda saklanmaktadır.</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1"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8.00000000000006" w:lineRule="auto"/>
        <w:ind w:left="792" w:right="0" w:hanging="43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13i9sswvdco3" w:id="5"/>
      <w:bookmarkEnd w:id="5"/>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KİŞİSEL VERİLERİN İMHASI</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Veri Sorumlusu 6698 sayılı Kanun ’un 5. ve 6. maddelerinde belirtilen kişisel veri işleme şartları dahilinde ilgili kişi grubuna göre işlenen kişisel veriler;</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Kişisel verilerin işlenme veya saklanma sebebi olan hukuki düzenlemelerin değişmesi veya kaldırılması,</w:t>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Kişisel verilerin işlenme veya saklanma amacının ortadan kalkması,</w:t>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Kişisel verilerin açık rıza şartına bağlı olarak işlendiği veya saklandığı hallerde, ilgili kişinin açık rızasını geri alması,</w:t>
      </w:r>
    </w:p>
    <w:p w:rsidR="00000000" w:rsidDel="00000000" w:rsidP="00000000" w:rsidRDefault="00000000" w:rsidRPr="00000000" w14:paraId="000000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İlgili kişinin, Kanunun 11 inci maddesinde belirtilen hakları çerçevesinde, kişisel verilerinin silinmesi ve yok edilmesine ilişkin Kuruma yaptığı başvurunun kabul edilmesi,</w:t>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İlgili kişi tarafından Kuruma yapılan başvuruya Kurumun başvuru süresinde cevap vermemesi, red cevabı vermesi veya verilen cevabın ilgili kişi tarafından yetersiz bulunması, </w:t>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İlgili kişinin Kişisel Verileri Koruma Kurulu’na şikâyette bulunması ve bu talebin Kurul tarafından uygun bulunması,</w:t>
      </w:r>
    </w:p>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Kişisel verilerin saklanmasını gerektiren azami sürenin geçmiş olması ve kişisel verileri daha uzun süre saklamayı haklı kılacak herhangi bir gerekçenin mevcut olmaması,</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durumlarında Kurum tarafından periyodik imha sürecinde veya ilgili kişinin talebi üzerine ilgili kişiye ait kişisel veriler silinir, yok edilir veya anonim hale getirilir.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8.00000000000006" w:lineRule="auto"/>
        <w:ind w:left="792" w:right="0" w:hanging="43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İDARİ VE TEKNİK TEDBİRLER</w:t>
      </w:r>
    </w:p>
    <w:p w:rsidR="00000000" w:rsidDel="00000000" w:rsidP="00000000" w:rsidRDefault="00000000" w:rsidRPr="00000000" w14:paraId="0000006F">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6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İdari Tedbirler </w:t>
      </w: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Veri Sorumlusu tarafından;</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Kişisel Veri İşleme Envanteri hazırlanmış ve işbu envantere ilişkin mevcut risk ve tehditlerin belirlenmesi için Risk Analizi sürekli olarak düzenlenmektedir.</w:t>
      </w:r>
    </w:p>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Çalışanlara kişisel veri güvenliğine ilişkin eğitimler verilmekte ve farkındalık çalışmaları süreçleri yürütülmektedir.</w:t>
      </w:r>
    </w:p>
    <w:p w:rsidR="00000000" w:rsidDel="00000000" w:rsidP="00000000" w:rsidRDefault="00000000" w:rsidRPr="00000000" w14:paraId="000000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Çalışanlardan Gizlilik Taahhütnamesi alınmaktadır.</w:t>
      </w:r>
    </w:p>
    <w:p w:rsidR="00000000" w:rsidDel="00000000" w:rsidP="00000000" w:rsidRDefault="00000000" w:rsidRPr="00000000" w14:paraId="000000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Kişisel veri güvenliğine ilişkin Erişim Politikası, Saklama ve İmha Politikası, Kişisel Veri Koruma ve İşleme Politikası ve WEB Gizlilik Politikaları hazırlanarak hayata geçirilmektedir. </w:t>
      </w:r>
    </w:p>
    <w:p w:rsidR="00000000" w:rsidDel="00000000" w:rsidP="00000000" w:rsidRDefault="00000000" w:rsidRPr="00000000" w14:paraId="0000007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Kurum tarafından işlenen kişisel veriler Kanun’un 4. maddesi nezdinde düzenlenen ilkeler ışığında mümkün olduğunca azaltılmaya çalışılmaktadır.</w:t>
      </w:r>
    </w:p>
    <w:p w:rsidR="00000000" w:rsidDel="00000000" w:rsidP="00000000" w:rsidRDefault="00000000" w:rsidRPr="00000000" w14:paraId="000000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Kurum bünyesinde özellikle kritik verilerin bulunduğu ortamlara girişler kontrollü sağlanmaktadır. </w:t>
      </w:r>
    </w:p>
    <w:p w:rsidR="00000000" w:rsidDel="00000000" w:rsidP="00000000" w:rsidRDefault="00000000" w:rsidRPr="00000000" w14:paraId="0000007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Kişisel verilerin bulunduğu odalarda kilitli dolap kullanılmaktadır. Ek olarak tüm tesis dışarıdan kamera sistemi ile kontrol edilmektedir. </w:t>
      </w:r>
    </w:p>
    <w:p w:rsidR="00000000" w:rsidDel="00000000" w:rsidP="00000000" w:rsidRDefault="00000000" w:rsidRPr="00000000" w14:paraId="0000007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Veri işleyen olarak sözleşme yapılan kişi ve kurumlarla ilişki süreçlerinin yönetilmesi için veri güvenliğine ilişkin Gizlilik Sözleşmesi yapılmakta ve Gizlilik Taahhütnameleri alınmaktadır.</w:t>
      </w:r>
    </w:p>
    <w:p w:rsidR="00000000" w:rsidDel="00000000" w:rsidP="00000000" w:rsidRDefault="00000000" w:rsidRPr="00000000" w14:paraId="0000007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Kurum tarafından Kişisel veri işlemeye başlamadan önce, ilgili kişileri aydınlatma yükümlülüğü yerine getirilmektedir.</w:t>
      </w:r>
    </w:p>
    <w:p w:rsidR="00000000" w:rsidDel="00000000" w:rsidP="00000000" w:rsidRDefault="00000000" w:rsidRPr="00000000" w14:paraId="0000007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Kurum içi periyodik ve rastgele denetimler yapılmakta ve denetim sonuçları düzeltici ve önleyici faaliyet olarak girdi sağlamaktadır. Bu sayede sürekli iyileştirme yapılarak riskler azaltılmaktadır.</w:t>
      </w:r>
    </w:p>
    <w:p w:rsidR="00000000" w:rsidDel="00000000" w:rsidP="00000000" w:rsidRDefault="00000000" w:rsidRPr="00000000" w14:paraId="0000007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Kurum tarafından çalışanlara kişisel veri ve bilgi güvenliği ile ilgili konularda sürekli ve düzenli olarak eğitimler verilmektedir. </w:t>
      </w:r>
    </w:p>
    <w:p w:rsidR="00000000" w:rsidDel="00000000" w:rsidP="00000000" w:rsidRDefault="00000000" w:rsidRPr="00000000" w14:paraId="0000007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Kurum, içerisinde veri güvenliğinin ihlal edilmesi durumunda kurum ait Disiplin Prosedüründe çalışanlarla ilgili çeşitli hükümler yer almaktadır.  </w:t>
      </w:r>
    </w:p>
    <w:p w:rsidR="00000000" w:rsidDel="00000000" w:rsidP="00000000" w:rsidRDefault="00000000" w:rsidRPr="00000000" w14:paraId="0000007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Kurum bünyesinde kullanılan uygulamalar için yetki matrisi oluşturulmuş ve düzenli olarak takibi ve kontrolü sağlanmaktadır.</w:t>
      </w:r>
    </w:p>
    <w:p w:rsidR="00000000" w:rsidDel="00000000" w:rsidP="00000000" w:rsidRDefault="00000000" w:rsidRPr="00000000" w14:paraId="0000007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Özel nitelikli kişisel veriler KV.PR.03 Özel Nitelikli Kişisel Veri İşleme Prosedürü’ne uygun olarak işlenmektedir.   </w:t>
      </w:r>
    </w:p>
    <w:p w:rsidR="00000000" w:rsidDel="00000000" w:rsidP="00000000" w:rsidRDefault="00000000" w:rsidRPr="00000000" w14:paraId="0000008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Fiziksel ve Dijital belgeler PR.06 Varlık Yönetimi Prosedürü kapsamında derecelendirilerek, gizlilik derecesine göre gerekli güvenlik önlemlerinin alınması sağlanmaktadır.  </w:t>
      </w:r>
    </w:p>
    <w:p w:rsidR="00000000" w:rsidDel="00000000" w:rsidP="00000000" w:rsidRDefault="00000000" w:rsidRPr="00000000" w14:paraId="0000008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PR.04 İç Denetim Prosedürü  kapsamında iç denetim ekibi tarafından düzenli ve sürekli olarak iç denetimler gerçekleştirilmektedir.</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6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TEKNİK TEDBİRLER</w:t>
      </w:r>
    </w:p>
    <w:p w:rsidR="00000000" w:rsidDel="00000000" w:rsidP="00000000" w:rsidRDefault="00000000" w:rsidRPr="00000000" w14:paraId="00000084">
      <w:pPr>
        <w:ind w:left="426"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rtl w:val="0"/>
        </w:rPr>
        <w:t xml:space="preserve">Veri Sorumlusu </w:t>
      </w:r>
      <w:r w:rsidDel="00000000" w:rsidR="00000000" w:rsidRPr="00000000">
        <w:rPr>
          <w:rFonts w:ascii="Calibri" w:cs="Calibri" w:eastAsia="Calibri" w:hAnsi="Calibri"/>
          <w:color w:val="000000"/>
          <w:rtl w:val="0"/>
        </w:rPr>
        <w:t xml:space="preserve">tarafından yapılan boşluk analizi, risk envanteri ve kişisel veri envanteri çalışmaları sonucunda, belirlenmiş olan teknik tedbirleri uygulanmakta ve alınan tedbirler denetimlerle sürekli olarak iyileştirme hedefi olarak uygulanmaktadır.</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Kurumumuz bünyesinde dışarıdan içeriye ve içeriden dışarıya gelen trafikler Güvenlik Duvarı ile kontrol altına alınmakta ve ağ trafiği korunmaktadır. </w:t>
      </w:r>
    </w:p>
    <w:p w:rsidR="00000000" w:rsidDel="00000000" w:rsidP="00000000" w:rsidRDefault="00000000" w:rsidRPr="00000000" w14:paraId="000000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Ağ Yönetimi Politikası kapsamında ağ güvenliği ve uygulama güvenliği sağlanmaktadır.</w:t>
      </w:r>
    </w:p>
    <w:p w:rsidR="00000000" w:rsidDel="00000000" w:rsidP="00000000" w:rsidRDefault="00000000" w:rsidRPr="00000000" w14:paraId="000000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 ağına dışardan erişim sadece belirli kişiler tarafında SSL VPN ile güvenli bağlantı kurularak sağlanmaktadır.</w:t>
      </w:r>
    </w:p>
    <w:p w:rsidR="00000000" w:rsidDel="00000000" w:rsidP="00000000" w:rsidRDefault="00000000" w:rsidRPr="00000000" w14:paraId="0000008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 içerisinde kullanılan Güvenlik Duvarı üzerinde IPS, DNS filter, modülleri ile kurum ağı korunmaktadır.</w:t>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 içerisinde kullanılan şifrelerin yönetimi “Şifre Yönetimi ve Kullanımı Prosedürü” kapsamında gerçekleştirilmektedir. </w:t>
      </w:r>
    </w:p>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Çeşitli 3. Parti yazılımlar kullanılarak sistemlerin sahip olduğu Güvenlik açıkları takip edilerek uygun güvenlik yamaları yüklenmekte ve açıkların kapatılması sağlanmaktadır.</w:t>
      </w:r>
    </w:p>
    <w:p w:rsidR="00000000" w:rsidDel="00000000" w:rsidP="00000000" w:rsidRDefault="00000000" w:rsidRPr="00000000" w14:paraId="0000008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 yerleşkesinin güvenliği 7/24 kamera sistemleri ile izlenerek sağlanmaktadır. </w:t>
      </w:r>
    </w:p>
    <w:p w:rsidR="00000000" w:rsidDel="00000000" w:rsidP="00000000" w:rsidRDefault="00000000" w:rsidRPr="00000000" w14:paraId="000000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 olarak bulut sistemleri kontrollü kullanılmaktadır. Hizmet alınan firmanın sunmuş olduğu ek güvenlik önlemleri alınmaktadır.  </w:t>
      </w:r>
    </w:p>
    <w:p w:rsidR="00000000" w:rsidDel="00000000" w:rsidP="00000000" w:rsidRDefault="00000000" w:rsidRPr="00000000" w14:paraId="000000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 bünyesinde bulunan tüm bilgisayarlarda antivirüs yazılımı ile zararlı yazılımlara ve dışarıdan gelebilecek virüslere karşı korunma sağlanmaktadır. </w:t>
      </w:r>
    </w:p>
    <w:p w:rsidR="00000000" w:rsidDel="00000000" w:rsidP="00000000" w:rsidRDefault="00000000" w:rsidRPr="00000000" w14:paraId="000000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Kurumun sistemlerine erişimler için tuttuğu Log kayıtlarına sadece BT birimi tarafından erişilebilmektedir. </w:t>
      </w:r>
    </w:p>
    <w:p w:rsidR="00000000" w:rsidDel="00000000" w:rsidP="00000000" w:rsidRDefault="00000000" w:rsidRPr="00000000" w14:paraId="000000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Kullanılan yazılım, uygulama ve veritabanları ile ilgili erişim kayıtları (log) alınmaktadır. </w:t>
      </w:r>
    </w:p>
    <w:p w:rsidR="00000000" w:rsidDel="00000000" w:rsidP="00000000" w:rsidRDefault="00000000" w:rsidRPr="00000000" w14:paraId="000000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 bünyesinde internet erişimleri 5651 sayılı yasa gereği kayıt (log) altına alınmaktadır. </w:t>
      </w:r>
    </w:p>
    <w:p w:rsidR="00000000" w:rsidDel="00000000" w:rsidP="00000000" w:rsidRDefault="00000000" w:rsidRPr="00000000" w14:paraId="0000009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Özel nitelikli kişisel verilerin güvenliğine yönelik ayrı bir prosedür belirlenmiştir.</w:t>
      </w:r>
    </w:p>
    <w:p w:rsidR="00000000" w:rsidDel="00000000" w:rsidP="00000000" w:rsidRDefault="00000000" w:rsidRPr="00000000" w14:paraId="00000093">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78.00000000000006" w:lineRule="auto"/>
        <w:ind w:left="792" w:right="0" w:hanging="43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qa2xxsdt6215" w:id="6"/>
      <w:bookmarkEnd w:id="6"/>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KİŞİSEL VERİLERİN İMHA TEKNİKLERİ</w:t>
      </w:r>
    </w:p>
    <w:p w:rsidR="00000000" w:rsidDel="00000000" w:rsidP="00000000" w:rsidRDefault="00000000" w:rsidRPr="00000000" w14:paraId="00000095">
      <w:pPr>
        <w:spacing w:after="0" w:line="240" w:lineRule="auto"/>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Kurumun yukarıda belirtilen amaçları çerçevesinde işlenen kişisel veriler, ilgili hukuki düzenlemede öngörülen süre ya da işlendikleri amaç için gerekli olan saklama süresinin sona ermesiyle, Kurum tarafından re’sen veya ilgili kişinin başvurusu üzerine 6698 sayılı Kişisel Verileri Koruma Kanunu ve diğer ilgili hukuki düzenlemelere uygun olarak aşağıda belirtilen şekillerde imha edilir.</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6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bookmarkStart w:colFirst="0" w:colLast="0" w:name="_ptnodytgtkds" w:id="7"/>
      <w:bookmarkEnd w:id="7"/>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Kişisel Verilerin Silinmesi</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 kişisel verileri ilgili kullanıcılar için hiçbir şekilde erişilemez ve tekrar kullanılamaz hale getirerek silme işlemini gerçekleştirir. Kurum, silinen kişisel verilerin ilgili kullanıcılar için erişilemez ve tekrar kullanılamaz olması için gerekli her türlü teknik ve idari tedbirleri almaktadır. Kişisel verilerin silinmesi aşağıdaki yöntemlerle gerçekleştirilir.</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9638.0" w:type="dxa"/>
        <w:jc w:val="left"/>
        <w:tblLayout w:type="fixed"/>
        <w:tblLook w:val="0000"/>
      </w:tblPr>
      <w:tblGrid>
        <w:gridCol w:w="4819"/>
        <w:gridCol w:w="4819"/>
        <w:tblGridChange w:id="0">
          <w:tblGrid>
            <w:gridCol w:w="4819"/>
            <w:gridCol w:w="4819"/>
          </w:tblGrid>
        </w:tblGridChange>
      </w:tblGrid>
      <w:tr>
        <w:trPr>
          <w:cantSplit w:val="0"/>
          <w:tblHeader w:val="0"/>
        </w:trPr>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Veri Kayıt Ortamı</w:t>
            </w:r>
          </w:p>
        </w:tc>
        <w:tc>
          <w:tcPr>
            <w:tcBorders>
              <w:top w:color="000000" w:space="0" w:sz="4" w:val="single"/>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Silinme Yöntemi</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9E">
            <w:pPr>
              <w:rPr/>
            </w:pPr>
            <w:r w:rsidDel="00000000" w:rsidR="00000000" w:rsidRPr="00000000">
              <w:rPr>
                <w:rtl w:val="0"/>
              </w:rPr>
              <w:t xml:space="preserve">Sunucularda Yer Alan Kişisel Veriler</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9F">
            <w:pPr>
              <w:rPr/>
            </w:pPr>
            <w:r w:rsidDel="00000000" w:rsidR="00000000" w:rsidRPr="00000000">
              <w:rPr>
                <w:rtl w:val="0"/>
              </w:rPr>
              <w:t xml:space="preserve">Erişim hakları kaldırılır. </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A0">
            <w:pPr>
              <w:rPr/>
            </w:pPr>
            <w:r w:rsidDel="00000000" w:rsidR="00000000" w:rsidRPr="00000000">
              <w:rPr>
                <w:rtl w:val="0"/>
              </w:rPr>
              <w:t xml:space="preserve">Elektronik Ortamda Yer Alan Kişisel Veriler</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A1">
            <w:pPr>
              <w:rPr/>
            </w:pPr>
            <w:r w:rsidDel="00000000" w:rsidR="00000000" w:rsidRPr="00000000">
              <w:rPr>
                <w:rtl w:val="0"/>
              </w:rPr>
              <w:t xml:space="preserve">Veritabanı kullanılıyorsa veritabanı erişimi hakları kaldırılır. Diğer elektronik ortamlar için varsa erişim hakları kaldırılır. </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A2">
            <w:pPr>
              <w:rPr/>
            </w:pPr>
            <w:r w:rsidDel="00000000" w:rsidR="00000000" w:rsidRPr="00000000">
              <w:rPr>
                <w:rtl w:val="0"/>
              </w:rPr>
              <w:t xml:space="preserve">Veri Tabanları </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A3">
            <w:pPr>
              <w:rPr/>
            </w:pPr>
            <w:r w:rsidDel="00000000" w:rsidR="00000000" w:rsidRPr="00000000">
              <w:rPr>
                <w:rtl w:val="0"/>
              </w:rPr>
              <w:t xml:space="preserve">Veri tabanları üzerindeki kişisel verilerin bulunduğu satırlara erişim hakkı kaldırılır.</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A4">
            <w:pPr>
              <w:rPr/>
            </w:pPr>
            <w:r w:rsidDel="00000000" w:rsidR="00000000" w:rsidRPr="00000000">
              <w:rPr>
                <w:rtl w:val="0"/>
              </w:rPr>
              <w:t xml:space="preserve">Fiziksel Ortamda Yer Alan Kişisel Veriler</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A5">
            <w:pPr>
              <w:rPr/>
            </w:pPr>
            <w:r w:rsidDel="00000000" w:rsidR="00000000" w:rsidRPr="00000000">
              <w:rPr>
                <w:rtl w:val="0"/>
              </w:rPr>
              <w:t xml:space="preserve">Kilitli dolap ve kilitli odalara kaldırılarak İlgilinin erişimi engellenir.</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A6">
            <w:pPr>
              <w:rPr/>
            </w:pPr>
            <w:r w:rsidDel="00000000" w:rsidR="00000000" w:rsidRPr="00000000">
              <w:rPr>
                <w:rFonts w:ascii="Calibri" w:cs="Calibri" w:eastAsia="Calibri" w:hAnsi="Calibri"/>
                <w:color w:val="000000"/>
                <w:rtl w:val="0"/>
              </w:rPr>
              <w:t xml:space="preserve">Bulut Sisteminde Yer Alan Kişisel Veriler</w:t>
            </w:r>
            <w:r w:rsidDel="00000000" w:rsidR="00000000" w:rsidRPr="00000000">
              <w:rPr>
                <w:rtl w:val="0"/>
              </w:rPr>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A7">
            <w:pPr>
              <w:rPr>
                <w:rFonts w:ascii="Calibri" w:cs="Calibri" w:eastAsia="Calibri" w:hAnsi="Calibri"/>
                <w:color w:val="000000"/>
              </w:rPr>
            </w:pPr>
            <w:r w:rsidDel="00000000" w:rsidR="00000000" w:rsidRPr="00000000">
              <w:rPr>
                <w:rFonts w:ascii="Calibri" w:cs="Calibri" w:eastAsia="Calibri" w:hAnsi="Calibri"/>
                <w:color w:val="000000"/>
                <w:rtl w:val="0"/>
              </w:rPr>
              <w:t xml:space="preserve">Bulut sisteminde bulunan verilere erişim yetkisi kaldırılır.</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A8">
            <w:pPr>
              <w:rPr/>
            </w:pPr>
            <w:r w:rsidDel="00000000" w:rsidR="00000000" w:rsidRPr="00000000">
              <w:rPr>
                <w:rtl w:val="0"/>
              </w:rPr>
              <w:t xml:space="preserve">Taşınabilir Medyada Bulunan Kişisel Veriler</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A9">
            <w:pPr>
              <w:rPr/>
            </w:pPr>
            <w:r w:rsidDel="00000000" w:rsidR="00000000" w:rsidRPr="00000000">
              <w:rPr>
                <w:rtl w:val="0"/>
              </w:rPr>
              <w:t xml:space="preserve">Kilitli dolap ve kilitli odalara kaldırılarak İlgilinin erişimi engellenir.</w:t>
            </w:r>
          </w:p>
        </w:tc>
      </w:tr>
    </w:tbl>
    <w:p w:rsidR="00000000" w:rsidDel="00000000" w:rsidP="00000000" w:rsidRDefault="00000000" w:rsidRPr="00000000" w14:paraId="000000AA">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AB">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AC">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6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bookmarkStart w:colFirst="0" w:colLast="0" w:name="_dkgvu8kofmz1" w:id="8"/>
      <w:bookmarkEnd w:id="8"/>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Kişisel Verilerin Yok Edilmesi</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 tarafından kişisel verilerin, hiç kimse tarafından hiçbir şekilde erişilemez, geri getirilemez ve tekrar kullanılamaz hale getirilmesi ile yok edilme işlemi gerçekleştirilir. Kurum, kişisel verilerin yok edilmesiyle ilgili gerekli her türlü teknik ve idari tedbirleri almaktadır. Kişisel verilerin yok edilmesi, aşağıdaki yöntemlerle gerçekleştirilir.</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9638.0" w:type="dxa"/>
        <w:jc w:val="left"/>
        <w:tblLayout w:type="fixed"/>
        <w:tblLook w:val="0000"/>
      </w:tblPr>
      <w:tblGrid>
        <w:gridCol w:w="4819"/>
        <w:gridCol w:w="4819"/>
        <w:tblGridChange w:id="0">
          <w:tblGrid>
            <w:gridCol w:w="4819"/>
            <w:gridCol w:w="4819"/>
          </w:tblGrid>
        </w:tblGridChange>
      </w:tblGrid>
      <w:tr>
        <w:trPr>
          <w:cantSplit w:val="0"/>
          <w:tblHeader w:val="0"/>
        </w:trPr>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Veri Kayıt Ortamı</w:t>
            </w:r>
          </w:p>
        </w:tc>
        <w:tc>
          <w:tcPr>
            <w:tcBorders>
              <w:top w:color="000000" w:space="0" w:sz="4" w:val="single"/>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Yok Edilme Yöntemi</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Sunucularda Yer Alan Kişisel Veriler</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Silinir, Formatlanır veya Disk Wipe araçları kullanılır.</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Elektronik Ortamda Yer Alan Kişisel Veriler</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Geri döndürülemeyecek şekilde veritabanı silinir. Fiziksel olarak yok edilir. </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Veri Tabanları</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Geri döndürülemeyecek şekilde veritabanı silinir. </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Fiziksel Ortamda Yer Alan Kişisel Veriler</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Kağıt imha makinesi ile parçalayarak veya yakarak imha edilir. </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Bulut Sisteminde Yer Alan Kişisel Veriler</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Geri döndürülemeyecek şekilde silme komutu verilerek silinir.</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Taşınabilir Medyada Bulunan Kişisel Veriler</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F">
            <w:pPr>
              <w:rPr/>
            </w:pPr>
            <w:r w:rsidDel="00000000" w:rsidR="00000000" w:rsidRPr="00000000">
              <w:rPr>
                <w:rtl w:val="0"/>
              </w:rPr>
              <w:t xml:space="preserve">Formatlanır veya Disk Wipe yazılımları ile geri dönülmeyecek şekilde silinir</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C1">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6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bookmarkStart w:colFirst="0" w:colLast="0" w:name="_3xaecevspan8" w:id="9"/>
      <w:bookmarkEnd w:id="9"/>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Kişisel Verilerin Anonimleştirilmesi</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 bünyesinde Kişisel verilerin anonim hale getirilmesi gereken veriler madde 9.2 Kişisel Verilerin Yok Edilmesi maddesinde belirtilen yöntemlere göre yok edilir.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8.00000000000006" w:lineRule="auto"/>
        <w:ind w:left="792" w:right="0" w:hanging="43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vc0miznyo539" w:id="10"/>
      <w:bookmarkEnd w:id="1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SAKLAMA VE İMHA SÜRELERİ</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Veri Sorumlusu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tarafından, ilgili hukuki düzenlemede öngörülen veya işlendikleri amaç için gerekli süre kadar saklanmakta olan kişisel verilerin saklama süreleri ve süreçlere bağlı olarak gerçekleştirilen faaliyetler kapsamındaki tüm kişisel verilerle ilgili saklama süreleri, Kişisel Veri İşleme Envanterinde ve işbu Saklama ve İmha Prosedürü’nde yer almaktadır.</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
        <w:tblW w:w="9638.0" w:type="dxa"/>
        <w:jc w:val="left"/>
        <w:tblLayout w:type="fixed"/>
        <w:tblLook w:val="0000"/>
      </w:tblPr>
      <w:tblGrid>
        <w:gridCol w:w="3116"/>
        <w:gridCol w:w="2824"/>
        <w:gridCol w:w="3698"/>
        <w:tblGridChange w:id="0">
          <w:tblGrid>
            <w:gridCol w:w="3116"/>
            <w:gridCol w:w="2824"/>
            <w:gridCol w:w="3698"/>
          </w:tblGrid>
        </w:tblGridChange>
      </w:tblGrid>
      <w:tr>
        <w:trPr>
          <w:cantSplit w:val="0"/>
          <w:tblHeader w:val="0"/>
        </w:trPr>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SÜREÇ</w:t>
            </w:r>
          </w:p>
        </w:tc>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SAKLAMA SÜRESİ</w:t>
            </w:r>
          </w:p>
        </w:tc>
        <w:tc>
          <w:tcPr>
            <w:tcBorders>
              <w:top w:color="000000" w:space="0" w:sz="4" w:val="single"/>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İMHA SÜRESİ</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Log Kayıt Takip Sistemleri</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yıl</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Saklama süresinin bitimini takip eden ilk periyodik imha süresinde</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Çalışan Adayı Değerlendirme Süreçleri</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6 ay</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Saklama süresinin bitimini takip eden ilk periyodik imha süresinde</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İnsan Kaynakları Süreçlerinin Yürütülmesi</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Faaliyetin sona ermesini takiben 10 yıl</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Saklama süresinin bitimini takip eden ilk periyodik imha süresinde</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Sözleşmelerin Kurulması ve İfası Süreçlerinin Yürütülmesi</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Sözleşmenin sona ermesini takiben 10 yıl</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Saklama süresinin bitimini takip eden ilk periyodik imha süresinde</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Finans ve Muhasebe İşlerinin Takibi Süreçlerinin Yürütülmesi</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Hukuki ilişkinin sona ermesinden itibaren 10 yıl</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Saklama süresinin bitimini takip eden ilk periyodik imha süresinde</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Hukuk İşlerinin Takibi Süreçlerinin Yürütülmesi</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Hukuki ilişkinin sona ermesinden itibaren 10 yıl</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Saklama süresinin bitimini takip eden ilk periyodik imha süresinde</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Müşteri Memnuniyeti Süreçlerinin Yürütülmesi</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İlgili zamanaşımı süresinin başlangıcından itibaren 10 yıl</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Saklama süresinin bitimini takip eden ilk periyodik imha süresinde</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Pazarlama Süreçlerinin Yürütülmesi</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Hukuki ilişkinin sona ermesini takiben 10 yıl</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Saklama süresinin bitimini takip eden ilk periyodik imha süresinde</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Diğer İş Süreçlerinin Yürütülmesi</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İlgili zamanaşımı süresinin başlangıcından itibaren 10 yıl</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Saklama süresinin bitimini takip eden ilk periyodik imha süresinde</w:t>
            </w:r>
          </w:p>
        </w:tc>
      </w:tr>
    </w:tbl>
    <w:p w:rsidR="00000000" w:rsidDel="00000000" w:rsidP="00000000" w:rsidRDefault="00000000" w:rsidRPr="00000000" w14:paraId="000000E8">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8.00000000000006" w:lineRule="auto"/>
        <w:ind w:left="792" w:right="0" w:hanging="43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ijbma1innbwy" w:id="11"/>
      <w:bookmarkEnd w:id="1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PERİYODİK İMHA SÜRESİ</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Kurum, periyodik imha süresini yılda 1 (bir) olarak belirlemiştir. İşbu düzenlemeye göre periyodik imha süreci her yıl Aralık ayının ikinci haftasında gerçekleşmektedir.</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10080.0" w:type="dxa"/>
      <w:jc w:val="left"/>
      <w:tblInd w:w="-5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5"/>
      <w:gridCol w:w="4095"/>
      <w:gridCol w:w="2001"/>
      <w:gridCol w:w="1779"/>
      <w:tblGridChange w:id="0">
        <w:tblGrid>
          <w:gridCol w:w="2205"/>
          <w:gridCol w:w="4095"/>
          <w:gridCol w:w="2001"/>
          <w:gridCol w:w="1779"/>
        </w:tblGrid>
      </w:tblGridChange>
    </w:tblGrid>
    <w:tr>
      <w:trPr>
        <w:cantSplit w:val="0"/>
        <w:trHeight w:val="340" w:hRule="atLeast"/>
        <w:tblHeader w:val="0"/>
      </w:trPr>
      <w:tc>
        <w:tcPr>
          <w:vMerge w:val="restart"/>
          <w:vAlign w:val="center"/>
        </w:tcPr>
        <w:p w:rsidR="00000000" w:rsidDel="00000000" w:rsidP="00000000" w:rsidRDefault="00000000" w:rsidRPr="00000000" w14:paraId="000000EE">
          <w:pPr>
            <w:tabs>
              <w:tab w:val="center" w:leader="none" w:pos="4153"/>
              <w:tab w:val="right" w:leader="none" w:pos="8306"/>
            </w:tabs>
            <w:jc w:val="center"/>
            <w:rPr>
              <w:rFonts w:ascii="Calibri" w:cs="Calibri" w:eastAsia="Calibri" w:hAnsi="Calibri"/>
            </w:rPr>
          </w:pPr>
          <w:r w:rsidDel="00000000" w:rsidR="00000000" w:rsidRPr="00000000">
            <w:rPr>
              <w:rFonts w:ascii="Calibri" w:cs="Calibri" w:eastAsia="Calibri" w:hAnsi="Calibri"/>
            </w:rPr>
            <w:drawing>
              <wp:inline distB="0" distT="0" distL="0" distR="0">
                <wp:extent cx="1257300" cy="45783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57300" cy="45783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EF">
          <w:pPr>
            <w:jc w:val="center"/>
            <w:rPr>
              <w:rFonts w:ascii="Calibri" w:cs="Calibri" w:eastAsia="Calibri" w:hAnsi="Calibri"/>
              <w:sz w:val="32"/>
              <w:szCs w:val="32"/>
            </w:rPr>
          </w:pPr>
          <w:r w:rsidDel="00000000" w:rsidR="00000000" w:rsidRPr="00000000">
            <w:rPr>
              <w:rFonts w:ascii="Calibri" w:cs="Calibri" w:eastAsia="Calibri" w:hAnsi="Calibri"/>
              <w:b w:val="1"/>
              <w:bCs w:val="1"/>
              <w:sz w:val="32"/>
              <w:szCs w:val="32"/>
              <w:rtl w:val="0"/>
            </w:rPr>
            <w:t xml:space="preserve">PROSEDÜR</w:t>
          </w:r>
          <w:r w:rsidDel="00000000" w:rsidR="00000000" w:rsidRPr="00000000">
            <w:rPr>
              <w:rtl w:val="0"/>
            </w:rPr>
          </w:r>
        </w:p>
      </w:tc>
      <w:tc>
        <w:tcPr>
          <w:vAlign w:val="center"/>
        </w:tcPr>
        <w:p w:rsidR="00000000" w:rsidDel="00000000" w:rsidP="00000000" w:rsidRDefault="00000000" w:rsidRPr="00000000" w14:paraId="000000F0">
          <w:pPr>
            <w:jc w:val="center"/>
            <w:rPr>
              <w:rFonts w:ascii="Calibri" w:cs="Calibri" w:eastAsia="Calibri" w:hAnsi="Calibri"/>
            </w:rPr>
          </w:pPr>
          <w:r w:rsidDel="00000000" w:rsidR="00000000" w:rsidRPr="00000000">
            <w:rPr>
              <w:rFonts w:ascii="Calibri" w:cs="Calibri" w:eastAsia="Calibri" w:hAnsi="Calibri"/>
              <w:rtl w:val="0"/>
            </w:rPr>
            <w:t xml:space="preserve">Yürürlük Tarihi</w:t>
          </w:r>
        </w:p>
      </w:tc>
      <w:tc>
        <w:tcPr>
          <w:vAlign w:val="center"/>
        </w:tcPr>
        <w:p w:rsidR="00000000" w:rsidDel="00000000" w:rsidP="00000000" w:rsidRDefault="00000000" w:rsidRPr="00000000" w14:paraId="000000F1">
          <w:pPr>
            <w:jc w:val="center"/>
            <w:rPr>
              <w:rFonts w:ascii="Calibri" w:cs="Calibri" w:eastAsia="Calibri" w:hAnsi="Calibri"/>
            </w:rPr>
          </w:pPr>
          <w:r w:rsidDel="00000000" w:rsidR="00000000" w:rsidRPr="00000000">
            <w:rPr>
              <w:rFonts w:ascii="Calibri" w:cs="Calibri" w:eastAsia="Calibri" w:hAnsi="Calibri"/>
              <w:rtl w:val="0"/>
            </w:rPr>
            <w:t xml:space="preserve">15.06.2026</w:t>
          </w:r>
        </w:p>
      </w:tc>
    </w:tr>
    <w:tr>
      <w:trPr>
        <w:cantSplit w:val="0"/>
        <w:trHeight w:val="340" w:hRule="atLeast"/>
        <w:tblHeader w:val="0"/>
      </w:trPr>
      <w:tc>
        <w:tcPr>
          <w:vMerge w:val="continue"/>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F4">
          <w:pPr>
            <w:jc w:val="center"/>
            <w:rPr>
              <w:rFonts w:ascii="Calibri" w:cs="Calibri" w:eastAsia="Calibri" w:hAnsi="Calibri"/>
            </w:rPr>
          </w:pPr>
          <w:r w:rsidDel="00000000" w:rsidR="00000000" w:rsidRPr="00000000">
            <w:rPr>
              <w:rFonts w:ascii="Calibri" w:cs="Calibri" w:eastAsia="Calibri" w:hAnsi="Calibri"/>
              <w:rtl w:val="0"/>
            </w:rPr>
            <w:t xml:space="preserve">Doküman No</w:t>
          </w:r>
        </w:p>
      </w:tc>
      <w:tc>
        <w:tcPr>
          <w:vAlign w:val="center"/>
        </w:tcPr>
        <w:p w:rsidR="00000000" w:rsidDel="00000000" w:rsidP="00000000" w:rsidRDefault="00000000" w:rsidRPr="00000000" w14:paraId="000000F5">
          <w:pPr>
            <w:jc w:val="center"/>
            <w:rPr>
              <w:rFonts w:ascii="Calibri" w:cs="Calibri" w:eastAsia="Calibri" w:hAnsi="Calibri"/>
            </w:rPr>
          </w:pPr>
          <w:r w:rsidDel="00000000" w:rsidR="00000000" w:rsidRPr="00000000">
            <w:rPr>
              <w:rFonts w:ascii="Calibri" w:cs="Calibri" w:eastAsia="Calibri" w:hAnsi="Calibri"/>
              <w:rtl w:val="0"/>
            </w:rPr>
            <w:t xml:space="preserve">KV.PR.06</w:t>
          </w:r>
        </w:p>
      </w:tc>
    </w:tr>
    <w:tr>
      <w:trPr>
        <w:cantSplit w:val="0"/>
        <w:trHeight w:val="340" w:hRule="atLeast"/>
        <w:tblHeader w:val="0"/>
      </w:trPr>
      <w:tc>
        <w:tcPr>
          <w:vMerge w:val="continue"/>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F8">
          <w:pPr>
            <w:jc w:val="center"/>
            <w:rPr>
              <w:rFonts w:ascii="Calibri" w:cs="Calibri" w:eastAsia="Calibri" w:hAnsi="Calibri"/>
            </w:rPr>
          </w:pPr>
          <w:r w:rsidDel="00000000" w:rsidR="00000000" w:rsidRPr="00000000">
            <w:rPr>
              <w:rFonts w:ascii="Calibri" w:cs="Calibri" w:eastAsia="Calibri" w:hAnsi="Calibri"/>
              <w:rtl w:val="0"/>
            </w:rPr>
            <w:t xml:space="preserve">Revizyon Tarihi/No</w:t>
          </w:r>
        </w:p>
      </w:tc>
      <w:tc>
        <w:tcPr>
          <w:vAlign w:val="center"/>
        </w:tcPr>
        <w:p w:rsidR="00000000" w:rsidDel="00000000" w:rsidP="00000000" w:rsidRDefault="00000000" w:rsidRPr="00000000" w14:paraId="000000F9">
          <w:pPr>
            <w:jc w:val="center"/>
            <w:rPr>
              <w:rFonts w:ascii="Calibri" w:cs="Calibri" w:eastAsia="Calibri" w:hAnsi="Calibri"/>
            </w:rPr>
          </w:pPr>
          <w:r w:rsidDel="00000000" w:rsidR="00000000" w:rsidRPr="00000000">
            <w:rPr>
              <w:rFonts w:ascii="Calibri" w:cs="Calibri" w:eastAsia="Calibri" w:hAnsi="Calibri"/>
              <w:rtl w:val="0"/>
            </w:rPr>
            <w:t xml:space="preserve">00</w:t>
          </w:r>
        </w:p>
      </w:tc>
    </w:tr>
    <w:tr>
      <w:trPr>
        <w:cantSplit w:val="0"/>
        <w:trHeight w:val="340" w:hRule="atLeast"/>
        <w:tblHeader w:val="0"/>
      </w:trPr>
      <w:tc>
        <w:tcPr>
          <w:vMerge w:val="continue"/>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FC">
          <w:pPr>
            <w:jc w:val="center"/>
            <w:rPr>
              <w:rFonts w:ascii="Calibri" w:cs="Calibri" w:eastAsia="Calibri" w:hAnsi="Calibri"/>
            </w:rPr>
          </w:pPr>
          <w:r w:rsidDel="00000000" w:rsidR="00000000" w:rsidRPr="00000000">
            <w:rPr>
              <w:rFonts w:ascii="Calibri" w:cs="Calibri" w:eastAsia="Calibri" w:hAnsi="Calibri"/>
              <w:rtl w:val="0"/>
            </w:rPr>
            <w:t xml:space="preserve">Sayfa No</w:t>
          </w:r>
        </w:p>
      </w:tc>
      <w:tc>
        <w:tcPr>
          <w:vAlign w:val="center"/>
        </w:tcPr>
        <w:p w:rsidR="00000000" w:rsidDel="00000000" w:rsidP="00000000" w:rsidRDefault="00000000" w:rsidRPr="00000000" w14:paraId="000000FD">
          <w:pPr>
            <w:jc w:val="center"/>
            <w:rPr>
              <w:rFonts w:ascii="Calibri" w:cs="Calibri" w:eastAsia="Calibri" w:hAnsi="Calibri"/>
            </w:rPr>
          </w:pPr>
          <w:r w:rsidDel="00000000" w:rsidR="00000000" w:rsidRPr="00000000">
            <w:rPr>
              <w:rFonts w:ascii="Calibri" w:cs="Calibri" w:eastAsia="Calibri" w:hAnsi="Calibri"/>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 1</w:t>
          </w:r>
        </w:p>
      </w:tc>
    </w:tr>
    <w:tr>
      <w:trPr>
        <w:cantSplit w:val="0"/>
        <w:trHeight w:val="510" w:hRule="atLeast"/>
        <w:tblHeader w:val="0"/>
      </w:trPr>
      <w:tc>
        <w:tcPr>
          <w:vAlign w:val="center"/>
        </w:tcPr>
        <w:p w:rsidR="00000000" w:rsidDel="00000000" w:rsidP="00000000" w:rsidRDefault="00000000" w:rsidRPr="00000000" w14:paraId="000000FE">
          <w:pPr>
            <w:jc w:val="center"/>
            <w:rPr>
              <w:rFonts w:ascii="Calibri" w:cs="Calibri" w:eastAsia="Calibri" w:hAnsi="Calibri"/>
            </w:rPr>
          </w:pPr>
          <w:r w:rsidDel="00000000" w:rsidR="00000000" w:rsidRPr="00000000">
            <w:rPr>
              <w:rFonts w:ascii="Calibri" w:cs="Calibri" w:eastAsia="Calibri" w:hAnsi="Calibri"/>
              <w:rtl w:val="0"/>
            </w:rPr>
            <w:t xml:space="preserve">DOKÜMAN ADI</w:t>
          </w:r>
        </w:p>
      </w:tc>
      <w:tc>
        <w:tcPr>
          <w:gridSpan w:val="3"/>
          <w:vAlign w:val="center"/>
        </w:tcPr>
        <w:p w:rsidR="00000000" w:rsidDel="00000000" w:rsidP="00000000" w:rsidRDefault="00000000" w:rsidRPr="00000000" w14:paraId="000000FF">
          <w:pPr>
            <w:jc w:val="center"/>
            <w:rPr>
              <w:rFonts w:ascii="Calibri" w:cs="Calibri" w:eastAsia="Calibri" w:hAnsi="Calibri"/>
              <w:b w:val="1"/>
              <w:bCs w:val="1"/>
              <w:color w:val="ff0000"/>
            </w:rPr>
          </w:pPr>
          <w:r w:rsidDel="00000000" w:rsidR="00000000" w:rsidRPr="00000000">
            <w:rPr>
              <w:rFonts w:ascii="Calibri" w:cs="Calibri" w:eastAsia="Calibri" w:hAnsi="Calibri"/>
              <w:b w:val="1"/>
              <w:bCs w:val="1"/>
              <w:color w:val="ff0000"/>
              <w:rtl w:val="0"/>
            </w:rPr>
            <w:t xml:space="preserve">SAKLAMA ve İMHA PROSEDÜRÜ</w:t>
          </w:r>
        </w:p>
      </w:tc>
    </w:tr>
  </w:tbl>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080" w:hanging="360"/>
      </w:pPr>
      <w:rPr>
        <w:rFonts w:ascii="Noto Sans Symbols" w:cs="Noto Sans Symbols" w:eastAsia="Noto Sans Symbols" w:hAnsi="Noto Sans Symbols"/>
      </w:rPr>
    </w:lvl>
    <w:lvl w:ilvl="2">
      <w:start w:val="0"/>
      <w:numFmt w:val="bullet"/>
      <w:lvlText w:val="▪"/>
      <w:lvlJc w:val="left"/>
      <w:pPr>
        <w:ind w:left="1440" w:hanging="360"/>
      </w:pPr>
      <w:rPr>
        <w:rFonts w:ascii="Noto Sans Symbols" w:cs="Noto Sans Symbols" w:eastAsia="Noto Sans Symbols" w:hAnsi="Noto Sans Symbols"/>
      </w:rPr>
    </w:lvl>
    <w:lvl w:ilvl="3">
      <w:start w:val="0"/>
      <w:numFmt w:val="bullet"/>
      <w:lvlText w:val="•"/>
      <w:lvlJc w:val="left"/>
      <w:pPr>
        <w:ind w:left="1800" w:hanging="360"/>
      </w:pPr>
      <w:rPr>
        <w:rFonts w:ascii="Noto Sans Symbols" w:cs="Noto Sans Symbols" w:eastAsia="Noto Sans Symbols" w:hAnsi="Noto Sans Symbols"/>
      </w:rPr>
    </w:lvl>
    <w:lvl w:ilvl="4">
      <w:start w:val="0"/>
      <w:numFmt w:val="bullet"/>
      <w:lvlText w:val="◦"/>
      <w:lvlJc w:val="left"/>
      <w:pPr>
        <w:ind w:left="2160" w:hanging="360"/>
      </w:pPr>
      <w:rPr>
        <w:rFonts w:ascii="Noto Sans Symbols" w:cs="Noto Sans Symbols" w:eastAsia="Noto Sans Symbols" w:hAnsi="Noto Sans Symbols"/>
      </w:rPr>
    </w:lvl>
    <w:lvl w:ilvl="5">
      <w:start w:val="0"/>
      <w:numFmt w:val="bullet"/>
      <w:lvlText w:val="▪"/>
      <w:lvlJc w:val="left"/>
      <w:pPr>
        <w:ind w:left="2520" w:hanging="360"/>
      </w:pPr>
      <w:rPr>
        <w:rFonts w:ascii="Noto Sans Symbols" w:cs="Noto Sans Symbols" w:eastAsia="Noto Sans Symbols" w:hAnsi="Noto Sans Symbols"/>
      </w:rPr>
    </w:lvl>
    <w:lvl w:ilvl="6">
      <w:start w:val="0"/>
      <w:numFmt w:val="bullet"/>
      <w:lvlText w:val="•"/>
      <w:lvlJc w:val="left"/>
      <w:pPr>
        <w:ind w:left="2880" w:hanging="360"/>
      </w:pPr>
      <w:rPr>
        <w:rFonts w:ascii="Noto Sans Symbols" w:cs="Noto Sans Symbols" w:eastAsia="Noto Sans Symbols" w:hAnsi="Noto Sans Symbols"/>
      </w:rPr>
    </w:lvl>
    <w:lvl w:ilvl="7">
      <w:start w:val="0"/>
      <w:numFmt w:val="bullet"/>
      <w:lvlText w:val="◦"/>
      <w:lvlJc w:val="left"/>
      <w:pPr>
        <w:ind w:left="3240" w:hanging="360"/>
      </w:pPr>
      <w:rPr>
        <w:rFonts w:ascii="Noto Sans Symbols" w:cs="Noto Sans Symbols" w:eastAsia="Noto Sans Symbols" w:hAnsi="Noto Sans Symbols"/>
      </w:rPr>
    </w:lvl>
    <w:lvl w:ilvl="8">
      <w:start w:val="0"/>
      <w:numFmt w:val="bullet"/>
      <w:lvlText w:val="▪"/>
      <w:lvlJc w:val="left"/>
      <w:pPr>
        <w:ind w:left="360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080" w:hanging="360"/>
      </w:pPr>
      <w:rPr>
        <w:rFonts w:ascii="Noto Sans Symbols" w:cs="Noto Sans Symbols" w:eastAsia="Noto Sans Symbols" w:hAnsi="Noto Sans Symbols"/>
      </w:rPr>
    </w:lvl>
    <w:lvl w:ilvl="2">
      <w:start w:val="0"/>
      <w:numFmt w:val="bullet"/>
      <w:lvlText w:val="▪"/>
      <w:lvlJc w:val="left"/>
      <w:pPr>
        <w:ind w:left="1440" w:hanging="360"/>
      </w:pPr>
      <w:rPr>
        <w:rFonts w:ascii="Noto Sans Symbols" w:cs="Noto Sans Symbols" w:eastAsia="Noto Sans Symbols" w:hAnsi="Noto Sans Symbols"/>
      </w:rPr>
    </w:lvl>
    <w:lvl w:ilvl="3">
      <w:start w:val="0"/>
      <w:numFmt w:val="bullet"/>
      <w:lvlText w:val="•"/>
      <w:lvlJc w:val="left"/>
      <w:pPr>
        <w:ind w:left="1800" w:hanging="360"/>
      </w:pPr>
      <w:rPr>
        <w:rFonts w:ascii="Noto Sans Symbols" w:cs="Noto Sans Symbols" w:eastAsia="Noto Sans Symbols" w:hAnsi="Noto Sans Symbols"/>
      </w:rPr>
    </w:lvl>
    <w:lvl w:ilvl="4">
      <w:start w:val="0"/>
      <w:numFmt w:val="bullet"/>
      <w:lvlText w:val="◦"/>
      <w:lvlJc w:val="left"/>
      <w:pPr>
        <w:ind w:left="2160" w:hanging="360"/>
      </w:pPr>
      <w:rPr>
        <w:rFonts w:ascii="Noto Sans Symbols" w:cs="Noto Sans Symbols" w:eastAsia="Noto Sans Symbols" w:hAnsi="Noto Sans Symbols"/>
      </w:rPr>
    </w:lvl>
    <w:lvl w:ilvl="5">
      <w:start w:val="0"/>
      <w:numFmt w:val="bullet"/>
      <w:lvlText w:val="▪"/>
      <w:lvlJc w:val="left"/>
      <w:pPr>
        <w:ind w:left="2520" w:hanging="360"/>
      </w:pPr>
      <w:rPr>
        <w:rFonts w:ascii="Noto Sans Symbols" w:cs="Noto Sans Symbols" w:eastAsia="Noto Sans Symbols" w:hAnsi="Noto Sans Symbols"/>
      </w:rPr>
    </w:lvl>
    <w:lvl w:ilvl="6">
      <w:start w:val="0"/>
      <w:numFmt w:val="bullet"/>
      <w:lvlText w:val="•"/>
      <w:lvlJc w:val="left"/>
      <w:pPr>
        <w:ind w:left="2880" w:hanging="360"/>
      </w:pPr>
      <w:rPr>
        <w:rFonts w:ascii="Noto Sans Symbols" w:cs="Noto Sans Symbols" w:eastAsia="Noto Sans Symbols" w:hAnsi="Noto Sans Symbols"/>
      </w:rPr>
    </w:lvl>
    <w:lvl w:ilvl="7">
      <w:start w:val="0"/>
      <w:numFmt w:val="bullet"/>
      <w:lvlText w:val="◦"/>
      <w:lvlJc w:val="left"/>
      <w:pPr>
        <w:ind w:left="3240" w:hanging="360"/>
      </w:pPr>
      <w:rPr>
        <w:rFonts w:ascii="Noto Sans Symbols" w:cs="Noto Sans Symbols" w:eastAsia="Noto Sans Symbols" w:hAnsi="Noto Sans Symbols"/>
      </w:rPr>
    </w:lvl>
    <w:lvl w:ilvl="8">
      <w:start w:val="0"/>
      <w:numFmt w:val="bullet"/>
      <w:lvlText w:val="▪"/>
      <w:lvlJc w:val="left"/>
      <w:pPr>
        <w:ind w:left="3600" w:hanging="360"/>
      </w:pPr>
      <w:rPr>
        <w:rFonts w:ascii="Noto Sans Symbols" w:cs="Noto Sans Symbols" w:eastAsia="Noto Sans Symbols" w:hAnsi="Noto Sans Symbols"/>
      </w:rPr>
    </w:lvl>
  </w:abstractNum>
  <w:abstractNum w:abstractNumId="5">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080" w:hanging="360"/>
      </w:pPr>
      <w:rPr>
        <w:rFonts w:ascii="Noto Sans Symbols" w:cs="Noto Sans Symbols" w:eastAsia="Noto Sans Symbols" w:hAnsi="Noto Sans Symbols"/>
      </w:rPr>
    </w:lvl>
    <w:lvl w:ilvl="2">
      <w:start w:val="0"/>
      <w:numFmt w:val="bullet"/>
      <w:lvlText w:val="▪"/>
      <w:lvlJc w:val="left"/>
      <w:pPr>
        <w:ind w:left="1440" w:hanging="360"/>
      </w:pPr>
      <w:rPr>
        <w:rFonts w:ascii="Noto Sans Symbols" w:cs="Noto Sans Symbols" w:eastAsia="Noto Sans Symbols" w:hAnsi="Noto Sans Symbols"/>
      </w:rPr>
    </w:lvl>
    <w:lvl w:ilvl="3">
      <w:start w:val="0"/>
      <w:numFmt w:val="bullet"/>
      <w:lvlText w:val="•"/>
      <w:lvlJc w:val="left"/>
      <w:pPr>
        <w:ind w:left="1800" w:hanging="360"/>
      </w:pPr>
      <w:rPr>
        <w:rFonts w:ascii="Noto Sans Symbols" w:cs="Noto Sans Symbols" w:eastAsia="Noto Sans Symbols" w:hAnsi="Noto Sans Symbols"/>
      </w:rPr>
    </w:lvl>
    <w:lvl w:ilvl="4">
      <w:start w:val="0"/>
      <w:numFmt w:val="bullet"/>
      <w:lvlText w:val="◦"/>
      <w:lvlJc w:val="left"/>
      <w:pPr>
        <w:ind w:left="2160" w:hanging="360"/>
      </w:pPr>
      <w:rPr>
        <w:rFonts w:ascii="Noto Sans Symbols" w:cs="Noto Sans Symbols" w:eastAsia="Noto Sans Symbols" w:hAnsi="Noto Sans Symbols"/>
      </w:rPr>
    </w:lvl>
    <w:lvl w:ilvl="5">
      <w:start w:val="0"/>
      <w:numFmt w:val="bullet"/>
      <w:lvlText w:val="▪"/>
      <w:lvlJc w:val="left"/>
      <w:pPr>
        <w:ind w:left="2520" w:hanging="360"/>
      </w:pPr>
      <w:rPr>
        <w:rFonts w:ascii="Noto Sans Symbols" w:cs="Noto Sans Symbols" w:eastAsia="Noto Sans Symbols" w:hAnsi="Noto Sans Symbols"/>
      </w:rPr>
    </w:lvl>
    <w:lvl w:ilvl="6">
      <w:start w:val="0"/>
      <w:numFmt w:val="bullet"/>
      <w:lvlText w:val="•"/>
      <w:lvlJc w:val="left"/>
      <w:pPr>
        <w:ind w:left="2880" w:hanging="360"/>
      </w:pPr>
      <w:rPr>
        <w:rFonts w:ascii="Noto Sans Symbols" w:cs="Noto Sans Symbols" w:eastAsia="Noto Sans Symbols" w:hAnsi="Noto Sans Symbols"/>
      </w:rPr>
    </w:lvl>
    <w:lvl w:ilvl="7">
      <w:start w:val="0"/>
      <w:numFmt w:val="bullet"/>
      <w:lvlText w:val="◦"/>
      <w:lvlJc w:val="left"/>
      <w:pPr>
        <w:ind w:left="3240" w:hanging="360"/>
      </w:pPr>
      <w:rPr>
        <w:rFonts w:ascii="Noto Sans Symbols" w:cs="Noto Sans Symbols" w:eastAsia="Noto Sans Symbols" w:hAnsi="Noto Sans Symbols"/>
      </w:rPr>
    </w:lvl>
    <w:lvl w:ilvl="8">
      <w:start w:val="0"/>
      <w:numFmt w:val="bullet"/>
      <w:lvlText w:val="▪"/>
      <w:lvlJc w:val="left"/>
      <w:pPr>
        <w:ind w:left="3600" w:hanging="360"/>
      </w:pPr>
      <w:rPr>
        <w:rFonts w:ascii="Noto Sans Symbols" w:cs="Noto Sans Symbols" w:eastAsia="Noto Sans Symbols" w:hAnsi="Noto Sans Symbols"/>
      </w:rPr>
    </w:lvl>
  </w:abstractNum>
  <w:abstractNum w:abstractNumId="6">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080" w:hanging="360"/>
      </w:pPr>
      <w:rPr>
        <w:rFonts w:ascii="Noto Sans Symbols" w:cs="Noto Sans Symbols" w:eastAsia="Noto Sans Symbols" w:hAnsi="Noto Sans Symbols"/>
      </w:rPr>
    </w:lvl>
    <w:lvl w:ilvl="2">
      <w:start w:val="0"/>
      <w:numFmt w:val="bullet"/>
      <w:lvlText w:val="▪"/>
      <w:lvlJc w:val="left"/>
      <w:pPr>
        <w:ind w:left="1440" w:hanging="360"/>
      </w:pPr>
      <w:rPr>
        <w:rFonts w:ascii="Noto Sans Symbols" w:cs="Noto Sans Symbols" w:eastAsia="Noto Sans Symbols" w:hAnsi="Noto Sans Symbols"/>
      </w:rPr>
    </w:lvl>
    <w:lvl w:ilvl="3">
      <w:start w:val="0"/>
      <w:numFmt w:val="bullet"/>
      <w:lvlText w:val="•"/>
      <w:lvlJc w:val="left"/>
      <w:pPr>
        <w:ind w:left="1800" w:hanging="360"/>
      </w:pPr>
      <w:rPr>
        <w:rFonts w:ascii="Noto Sans Symbols" w:cs="Noto Sans Symbols" w:eastAsia="Noto Sans Symbols" w:hAnsi="Noto Sans Symbols"/>
      </w:rPr>
    </w:lvl>
    <w:lvl w:ilvl="4">
      <w:start w:val="0"/>
      <w:numFmt w:val="bullet"/>
      <w:lvlText w:val="◦"/>
      <w:lvlJc w:val="left"/>
      <w:pPr>
        <w:ind w:left="2160" w:hanging="360"/>
      </w:pPr>
      <w:rPr>
        <w:rFonts w:ascii="Noto Sans Symbols" w:cs="Noto Sans Symbols" w:eastAsia="Noto Sans Symbols" w:hAnsi="Noto Sans Symbols"/>
      </w:rPr>
    </w:lvl>
    <w:lvl w:ilvl="5">
      <w:start w:val="0"/>
      <w:numFmt w:val="bullet"/>
      <w:lvlText w:val="▪"/>
      <w:lvlJc w:val="left"/>
      <w:pPr>
        <w:ind w:left="2520" w:hanging="360"/>
      </w:pPr>
      <w:rPr>
        <w:rFonts w:ascii="Noto Sans Symbols" w:cs="Noto Sans Symbols" w:eastAsia="Noto Sans Symbols" w:hAnsi="Noto Sans Symbols"/>
      </w:rPr>
    </w:lvl>
    <w:lvl w:ilvl="6">
      <w:start w:val="0"/>
      <w:numFmt w:val="bullet"/>
      <w:lvlText w:val="•"/>
      <w:lvlJc w:val="left"/>
      <w:pPr>
        <w:ind w:left="2880" w:hanging="360"/>
      </w:pPr>
      <w:rPr>
        <w:rFonts w:ascii="Noto Sans Symbols" w:cs="Noto Sans Symbols" w:eastAsia="Noto Sans Symbols" w:hAnsi="Noto Sans Symbols"/>
      </w:rPr>
    </w:lvl>
    <w:lvl w:ilvl="7">
      <w:start w:val="0"/>
      <w:numFmt w:val="bullet"/>
      <w:lvlText w:val="◦"/>
      <w:lvlJc w:val="left"/>
      <w:pPr>
        <w:ind w:left="3240" w:hanging="360"/>
      </w:pPr>
      <w:rPr>
        <w:rFonts w:ascii="Noto Sans Symbols" w:cs="Noto Sans Symbols" w:eastAsia="Noto Sans Symbols" w:hAnsi="Noto Sans Symbols"/>
      </w:rPr>
    </w:lvl>
    <w:lvl w:ilvl="8">
      <w:start w:val="0"/>
      <w:numFmt w:val="bullet"/>
      <w:lvlText w:val="▪"/>
      <w:lvlJc w:val="left"/>
      <w:pPr>
        <w:ind w:left="360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b w:val="1"/>
        <w:bCs w:val="1"/>
      </w:rPr>
    </w:lvl>
    <w:lvl w:ilvl="3">
      <w:start w:val="1"/>
      <w:numFmt w:val="decimal"/>
      <w:lvlText w:val="%1.%2.%3.%4."/>
      <w:lvlJc w:val="left"/>
      <w:pPr>
        <w:ind w:left="1728" w:hanging="647.9999999999998"/>
      </w:pPr>
      <w:rPr>
        <w:b w:val="1"/>
        <w:bCs w:val="1"/>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t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